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6E89E" w14:textId="77777777" w:rsidR="009F762E" w:rsidRPr="00242DFB" w:rsidRDefault="00000000" w:rsidP="005B2285">
      <w:pPr>
        <w:spacing w:line="360" w:lineRule="auto"/>
        <w:jc w:val="both"/>
        <w:rPr>
          <w:rStyle w:val="FootnoteCharacters"/>
          <w:rFonts w:ascii="Arial" w:hAnsi="Arial" w:cs="Arial"/>
          <w:color w:val="000000" w:themeColor="text1"/>
        </w:rPr>
      </w:pPr>
      <w:r w:rsidRPr="00242DFB">
        <w:rPr>
          <w:rFonts w:ascii="Arial" w:hAnsi="Arial" w:cs="Arial"/>
          <w:noProof/>
          <w:color w:val="000000"/>
        </w:rPr>
        <w:drawing>
          <wp:anchor distT="0" distB="0" distL="0" distR="0" simplePos="0" relativeHeight="251656704" behindDoc="1" locked="0" layoutInCell="0" allowOverlap="1" wp14:anchorId="02870B1D" wp14:editId="11C20612">
            <wp:simplePos x="0" y="0"/>
            <wp:positionH relativeFrom="margin">
              <wp:align>center</wp:align>
            </wp:positionH>
            <wp:positionV relativeFrom="paragraph">
              <wp:posOffset>-99695</wp:posOffset>
            </wp:positionV>
            <wp:extent cx="781685" cy="1101725"/>
            <wp:effectExtent l="0" t="0" r="0" b="0"/>
            <wp:wrapNone/>
            <wp:docPr id="1" name="Imagen 5"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5" descr="Logotipo&#10;&#10;El contenido generado por IA puede ser incorrecto."/>
                    <pic:cNvPicPr>
                      <a:picLocks noChangeAspect="1" noChangeArrowheads="1"/>
                    </pic:cNvPicPr>
                  </pic:nvPicPr>
                  <pic:blipFill>
                    <a:blip r:embed="rId11"/>
                    <a:srcRect r="2902"/>
                    <a:stretch>
                      <a:fillRect/>
                    </a:stretch>
                  </pic:blipFill>
                  <pic:spPr bwMode="auto">
                    <a:xfrm>
                      <a:off x="0" y="0"/>
                      <a:ext cx="781685" cy="1101725"/>
                    </a:xfrm>
                    <a:prstGeom prst="rect">
                      <a:avLst/>
                    </a:prstGeom>
                    <a:noFill/>
                  </pic:spPr>
                </pic:pic>
              </a:graphicData>
            </a:graphic>
          </wp:anchor>
        </w:drawing>
      </w:r>
    </w:p>
    <w:p w14:paraId="4946A1E8" w14:textId="77777777" w:rsidR="009F762E" w:rsidRPr="00242DFB" w:rsidRDefault="009F762E" w:rsidP="005B2285">
      <w:pPr>
        <w:spacing w:line="360" w:lineRule="auto"/>
        <w:jc w:val="both"/>
        <w:rPr>
          <w:rStyle w:val="FootnoteCharacters"/>
          <w:rFonts w:ascii="Arial" w:hAnsi="Arial" w:cs="Arial"/>
          <w:color w:val="000000" w:themeColor="text1"/>
        </w:rPr>
      </w:pPr>
    </w:p>
    <w:p w14:paraId="35BE1713" w14:textId="77777777" w:rsidR="009F762E" w:rsidRPr="00242DFB" w:rsidRDefault="009F762E" w:rsidP="005B2285">
      <w:pPr>
        <w:spacing w:line="360" w:lineRule="auto"/>
        <w:jc w:val="both"/>
        <w:rPr>
          <w:rFonts w:ascii="Arial" w:hAnsi="Arial" w:cs="Arial"/>
          <w:b/>
          <w:bCs/>
          <w:color w:val="000000" w:themeColor="text1"/>
        </w:rPr>
      </w:pPr>
    </w:p>
    <w:p w14:paraId="58880CEA" w14:textId="77777777" w:rsidR="009F762E" w:rsidRPr="00242DFB" w:rsidRDefault="009F762E" w:rsidP="005B2285">
      <w:pPr>
        <w:spacing w:line="360" w:lineRule="auto"/>
        <w:jc w:val="both"/>
        <w:rPr>
          <w:rFonts w:ascii="Arial" w:hAnsi="Arial" w:cs="Arial"/>
          <w:b/>
          <w:bCs/>
          <w:color w:val="000000" w:themeColor="text1"/>
        </w:rPr>
      </w:pPr>
    </w:p>
    <w:p w14:paraId="7664651D" w14:textId="77777777" w:rsidR="009F762E" w:rsidRPr="00242DFB" w:rsidRDefault="009F762E" w:rsidP="005B2285">
      <w:pPr>
        <w:spacing w:line="360" w:lineRule="auto"/>
        <w:jc w:val="both"/>
        <w:rPr>
          <w:rFonts w:ascii="Arial" w:hAnsi="Arial" w:cs="Arial"/>
          <w:b/>
          <w:bCs/>
          <w:color w:val="000000" w:themeColor="text1"/>
        </w:rPr>
      </w:pPr>
    </w:p>
    <w:p w14:paraId="72E47E3A" w14:textId="77777777" w:rsidR="009F762E" w:rsidRPr="00242DFB" w:rsidRDefault="00000000" w:rsidP="005B2285">
      <w:pPr>
        <w:spacing w:line="360" w:lineRule="auto"/>
        <w:jc w:val="center"/>
        <w:rPr>
          <w:rFonts w:ascii="Arial" w:hAnsi="Arial" w:cs="Arial"/>
          <w:b/>
          <w:bCs/>
          <w:color w:val="000000" w:themeColor="text1"/>
          <w:sz w:val="32"/>
          <w:szCs w:val="32"/>
        </w:rPr>
      </w:pPr>
      <w:r w:rsidRPr="00242DFB">
        <w:rPr>
          <w:rFonts w:ascii="Arial" w:hAnsi="Arial" w:cs="Arial"/>
          <w:b/>
          <w:bCs/>
          <w:color w:val="000000"/>
          <w:sz w:val="32"/>
          <w:szCs w:val="32"/>
        </w:rPr>
        <w:t>SECRETARÍA DISTRITAL DE SALUD</w:t>
      </w:r>
    </w:p>
    <w:p w14:paraId="42CB777F" w14:textId="77777777" w:rsidR="009F762E" w:rsidRPr="00242DFB" w:rsidRDefault="009F762E" w:rsidP="005B2285">
      <w:pPr>
        <w:spacing w:line="360" w:lineRule="auto"/>
        <w:jc w:val="center"/>
        <w:rPr>
          <w:rFonts w:ascii="Arial" w:hAnsi="Arial" w:cs="Arial"/>
          <w:b/>
          <w:bCs/>
          <w:color w:val="000000" w:themeColor="text1"/>
          <w:sz w:val="32"/>
          <w:szCs w:val="32"/>
        </w:rPr>
      </w:pPr>
    </w:p>
    <w:p w14:paraId="12B429DE" w14:textId="77777777" w:rsidR="009F762E" w:rsidRPr="00242DFB" w:rsidRDefault="009F762E" w:rsidP="005B2285">
      <w:pPr>
        <w:spacing w:line="360" w:lineRule="auto"/>
        <w:jc w:val="center"/>
        <w:rPr>
          <w:rFonts w:ascii="Arial" w:hAnsi="Arial" w:cs="Arial"/>
          <w:b/>
          <w:bCs/>
          <w:color w:val="000000" w:themeColor="text1"/>
          <w:sz w:val="32"/>
          <w:szCs w:val="32"/>
        </w:rPr>
      </w:pPr>
    </w:p>
    <w:p w14:paraId="24B6DE40" w14:textId="77777777" w:rsidR="009F762E" w:rsidRPr="00242DFB" w:rsidRDefault="009F762E" w:rsidP="005B2285">
      <w:pPr>
        <w:spacing w:line="360" w:lineRule="auto"/>
        <w:jc w:val="center"/>
        <w:rPr>
          <w:rFonts w:ascii="Arial" w:hAnsi="Arial" w:cs="Arial"/>
          <w:b/>
          <w:bCs/>
          <w:color w:val="000000" w:themeColor="text1"/>
          <w:sz w:val="32"/>
          <w:szCs w:val="32"/>
        </w:rPr>
      </w:pPr>
    </w:p>
    <w:p w14:paraId="1679045C" w14:textId="77777777" w:rsidR="009F762E" w:rsidRPr="00242DFB" w:rsidRDefault="009F762E" w:rsidP="005B2285">
      <w:pPr>
        <w:spacing w:line="360" w:lineRule="auto"/>
        <w:jc w:val="center"/>
        <w:rPr>
          <w:rFonts w:ascii="Arial" w:hAnsi="Arial" w:cs="Arial"/>
          <w:b/>
          <w:bCs/>
          <w:color w:val="000000" w:themeColor="text1"/>
          <w:sz w:val="32"/>
          <w:szCs w:val="32"/>
        </w:rPr>
      </w:pPr>
    </w:p>
    <w:p w14:paraId="3BA8FF5C" w14:textId="77777777" w:rsidR="009F762E" w:rsidRPr="00242DFB" w:rsidRDefault="00000000" w:rsidP="005B2285">
      <w:pPr>
        <w:spacing w:line="360" w:lineRule="auto"/>
        <w:jc w:val="center"/>
        <w:rPr>
          <w:rFonts w:ascii="Arial" w:hAnsi="Arial" w:cs="Arial"/>
          <w:b/>
          <w:bCs/>
          <w:color w:val="000000" w:themeColor="text1"/>
          <w:sz w:val="32"/>
          <w:szCs w:val="32"/>
        </w:rPr>
      </w:pPr>
      <w:bookmarkStart w:id="0" w:name="_Hlk201318273"/>
      <w:r w:rsidRPr="00242DFB">
        <w:rPr>
          <w:rFonts w:ascii="Arial" w:hAnsi="Arial" w:cs="Arial"/>
          <w:b/>
          <w:bCs/>
          <w:color w:val="000000"/>
          <w:sz w:val="32"/>
          <w:szCs w:val="32"/>
        </w:rPr>
        <w:t>DIRECCIÓN DE ASEGURAMIENTO Y GARANTÍA DEL DERECHO A LA SALUD</w:t>
      </w:r>
      <w:bookmarkEnd w:id="0"/>
    </w:p>
    <w:p w14:paraId="5D594044" w14:textId="77777777" w:rsidR="009F762E" w:rsidRPr="00242DFB" w:rsidRDefault="009F762E" w:rsidP="005B2285">
      <w:pPr>
        <w:spacing w:line="360" w:lineRule="auto"/>
        <w:jc w:val="center"/>
        <w:rPr>
          <w:rFonts w:ascii="Arial" w:hAnsi="Arial" w:cs="Arial"/>
          <w:b/>
          <w:bCs/>
          <w:color w:val="000000" w:themeColor="text1"/>
          <w:sz w:val="32"/>
          <w:szCs w:val="32"/>
        </w:rPr>
      </w:pPr>
    </w:p>
    <w:p w14:paraId="6D2FE2AF" w14:textId="77777777" w:rsidR="009F762E" w:rsidRPr="00242DFB" w:rsidRDefault="009F762E" w:rsidP="005B2285">
      <w:pPr>
        <w:spacing w:line="360" w:lineRule="auto"/>
        <w:jc w:val="center"/>
        <w:rPr>
          <w:rFonts w:ascii="Arial" w:hAnsi="Arial" w:cs="Arial"/>
          <w:b/>
          <w:bCs/>
          <w:color w:val="000000" w:themeColor="text1"/>
          <w:sz w:val="32"/>
          <w:szCs w:val="32"/>
        </w:rPr>
      </w:pPr>
    </w:p>
    <w:p w14:paraId="611852E0" w14:textId="77777777" w:rsidR="009F762E" w:rsidRPr="00242DFB" w:rsidRDefault="00000000" w:rsidP="005B2285">
      <w:pPr>
        <w:spacing w:line="360" w:lineRule="auto"/>
        <w:jc w:val="center"/>
        <w:rPr>
          <w:rFonts w:ascii="Arial" w:hAnsi="Arial" w:cs="Arial"/>
          <w:b/>
          <w:bCs/>
          <w:color w:val="000000" w:themeColor="text1"/>
          <w:sz w:val="32"/>
          <w:szCs w:val="32"/>
        </w:rPr>
      </w:pPr>
      <w:r w:rsidRPr="00242DFB">
        <w:rPr>
          <w:rFonts w:ascii="Arial" w:hAnsi="Arial" w:cs="Arial"/>
          <w:b/>
          <w:color w:val="000000"/>
          <w:sz w:val="32"/>
          <w:szCs w:val="32"/>
        </w:rPr>
        <w:t>INFORME EJECUTIVO DE ANÁLISIS A LOS RESULTADOS DE LA GESTIÓN</w:t>
      </w:r>
      <w:r w:rsidRPr="00242DFB">
        <w:rPr>
          <w:rFonts w:ascii="Arial" w:hAnsi="Arial" w:cs="Arial"/>
          <w:b/>
          <w:color w:val="000000"/>
          <w:sz w:val="32"/>
          <w:szCs w:val="32"/>
        </w:rPr>
        <w:br/>
        <w:t>DE CAPITAL SALUD EPS-S.</w:t>
      </w:r>
    </w:p>
    <w:p w14:paraId="7D304C97" w14:textId="77777777" w:rsidR="009F762E" w:rsidRPr="00242DFB" w:rsidRDefault="009F762E" w:rsidP="005B2285">
      <w:pPr>
        <w:spacing w:line="360" w:lineRule="auto"/>
        <w:jc w:val="center"/>
        <w:rPr>
          <w:rFonts w:ascii="Arial" w:hAnsi="Arial" w:cs="Arial"/>
          <w:b/>
          <w:bCs/>
          <w:color w:val="000000" w:themeColor="text1"/>
          <w:sz w:val="32"/>
          <w:szCs w:val="32"/>
        </w:rPr>
      </w:pPr>
    </w:p>
    <w:p w14:paraId="40F7284E" w14:textId="77777777" w:rsidR="009F762E" w:rsidRPr="00242DFB" w:rsidRDefault="009F762E" w:rsidP="005B2285">
      <w:pPr>
        <w:spacing w:line="360" w:lineRule="auto"/>
        <w:jc w:val="center"/>
        <w:rPr>
          <w:rFonts w:ascii="Arial" w:hAnsi="Arial" w:cs="Arial"/>
          <w:b/>
          <w:bCs/>
          <w:color w:val="000000" w:themeColor="text1"/>
          <w:sz w:val="32"/>
          <w:szCs w:val="32"/>
        </w:rPr>
      </w:pPr>
    </w:p>
    <w:p w14:paraId="64D1FE18" w14:textId="77777777" w:rsidR="009F762E" w:rsidRPr="00242DFB" w:rsidRDefault="009F762E" w:rsidP="005B2285">
      <w:pPr>
        <w:spacing w:line="360" w:lineRule="auto"/>
        <w:jc w:val="center"/>
        <w:rPr>
          <w:rFonts w:ascii="Arial" w:hAnsi="Arial" w:cs="Arial"/>
          <w:b/>
          <w:bCs/>
          <w:color w:val="000000" w:themeColor="text1"/>
          <w:sz w:val="32"/>
          <w:szCs w:val="32"/>
        </w:rPr>
      </w:pPr>
    </w:p>
    <w:p w14:paraId="670DBCAD" w14:textId="77777777" w:rsidR="009F762E" w:rsidRPr="00242DFB" w:rsidRDefault="009F762E" w:rsidP="005B2285">
      <w:pPr>
        <w:spacing w:line="360" w:lineRule="auto"/>
        <w:jc w:val="center"/>
        <w:rPr>
          <w:rFonts w:ascii="Arial" w:hAnsi="Arial" w:cs="Arial"/>
          <w:b/>
          <w:bCs/>
          <w:color w:val="000000" w:themeColor="text1"/>
          <w:sz w:val="32"/>
          <w:szCs w:val="32"/>
        </w:rPr>
      </w:pPr>
    </w:p>
    <w:p w14:paraId="150C3083" w14:textId="77777777" w:rsidR="009F762E" w:rsidRPr="00242DFB" w:rsidRDefault="009F762E" w:rsidP="005B2285">
      <w:pPr>
        <w:spacing w:line="360" w:lineRule="auto"/>
        <w:jc w:val="center"/>
        <w:rPr>
          <w:rFonts w:ascii="Arial" w:hAnsi="Arial" w:cs="Arial"/>
          <w:b/>
          <w:bCs/>
          <w:color w:val="000000" w:themeColor="text1"/>
          <w:sz w:val="32"/>
          <w:szCs w:val="32"/>
        </w:rPr>
      </w:pPr>
    </w:p>
    <w:p w14:paraId="0FADC824" w14:textId="77777777" w:rsidR="009F762E" w:rsidRPr="00242DFB" w:rsidRDefault="00000000" w:rsidP="005B2285">
      <w:pPr>
        <w:spacing w:line="360" w:lineRule="auto"/>
        <w:jc w:val="center"/>
        <w:rPr>
          <w:rFonts w:ascii="Arial" w:hAnsi="Arial" w:cs="Arial"/>
          <w:b/>
          <w:bCs/>
          <w:color w:val="000000" w:themeColor="text1"/>
          <w:sz w:val="32"/>
          <w:szCs w:val="32"/>
        </w:rPr>
      </w:pPr>
      <w:r w:rsidRPr="00242DFB">
        <w:rPr>
          <w:rFonts w:ascii="Arial" w:hAnsi="Arial" w:cs="Arial"/>
          <w:b/>
          <w:bCs/>
          <w:color w:val="000000"/>
          <w:sz w:val="32"/>
          <w:szCs w:val="32"/>
        </w:rPr>
        <w:t>JUNIO 2026</w:t>
      </w:r>
    </w:p>
    <w:p w14:paraId="18E3C98C" w14:textId="77777777" w:rsidR="009F762E" w:rsidRPr="00242DFB" w:rsidRDefault="009F762E" w:rsidP="005B2285">
      <w:pPr>
        <w:spacing w:line="360" w:lineRule="auto"/>
        <w:jc w:val="both"/>
        <w:rPr>
          <w:rFonts w:ascii="Arial" w:hAnsi="Arial" w:cs="Arial"/>
          <w:b/>
          <w:bCs/>
          <w:color w:val="000000" w:themeColor="text1"/>
          <w:sz w:val="32"/>
          <w:szCs w:val="32"/>
        </w:rPr>
      </w:pPr>
    </w:p>
    <w:sdt>
      <w:sdtPr>
        <w:rPr>
          <w:rFonts w:ascii="Arial" w:hAnsi="Arial" w:cs="Arial"/>
          <w:lang w:val="es-ES"/>
        </w:rPr>
        <w:id w:val="793258638"/>
        <w:docPartObj>
          <w:docPartGallery w:val="Table of Contents"/>
          <w:docPartUnique/>
        </w:docPartObj>
      </w:sdtPr>
      <w:sdtEndPr>
        <w:rPr>
          <w:rFonts w:eastAsia="Times New Roman"/>
          <w:color w:val="auto"/>
          <w:sz w:val="24"/>
          <w:szCs w:val="24"/>
          <w:lang w:eastAsia="es-MX"/>
        </w:rPr>
      </w:sdtEndPr>
      <w:sdtContent>
        <w:p w14:paraId="04C081A9" w14:textId="12C7A494" w:rsidR="00AD276C" w:rsidRPr="005B2DBF" w:rsidRDefault="00163C65" w:rsidP="005B2285">
          <w:pPr>
            <w:pStyle w:val="TtuloTDC"/>
            <w:spacing w:before="0" w:line="360" w:lineRule="auto"/>
            <w:jc w:val="center"/>
            <w:rPr>
              <w:rStyle w:val="Ttulo1Car"/>
              <w:rFonts w:ascii="Arial" w:hAnsi="Arial" w:cs="Arial"/>
              <w:b/>
              <w:bCs/>
              <w:color w:val="000000" w:themeColor="text1"/>
              <w:sz w:val="24"/>
              <w:szCs w:val="24"/>
            </w:rPr>
          </w:pPr>
          <w:r w:rsidRPr="005B2DBF">
            <w:rPr>
              <w:rStyle w:val="Ttulo1Car"/>
              <w:rFonts w:ascii="Arial" w:hAnsi="Arial" w:cs="Arial"/>
              <w:b/>
              <w:bCs/>
              <w:color w:val="000000" w:themeColor="text1"/>
              <w:sz w:val="24"/>
              <w:szCs w:val="24"/>
            </w:rPr>
            <w:t>CONTENIDO</w:t>
          </w:r>
        </w:p>
        <w:p w14:paraId="2565CA31" w14:textId="77777777" w:rsidR="00F76710" w:rsidRPr="008A6A0F" w:rsidRDefault="00F76710" w:rsidP="005B2285">
          <w:pPr>
            <w:spacing w:line="360" w:lineRule="auto"/>
            <w:jc w:val="both"/>
            <w:rPr>
              <w:rFonts w:ascii="Arial" w:hAnsi="Arial" w:cs="Arial"/>
            </w:rPr>
          </w:pPr>
        </w:p>
        <w:p w14:paraId="0CCA162C" w14:textId="2845110E" w:rsidR="008A6A0F" w:rsidRPr="008A6A0F" w:rsidRDefault="00AD276C" w:rsidP="005B2285">
          <w:pPr>
            <w:pStyle w:val="TDC1"/>
            <w:tabs>
              <w:tab w:val="right" w:leader="dot" w:pos="8828"/>
            </w:tabs>
            <w:spacing w:after="0" w:line="360" w:lineRule="auto"/>
            <w:jc w:val="both"/>
            <w:rPr>
              <w:rFonts w:ascii="Arial" w:eastAsiaTheme="minorEastAsia" w:hAnsi="Arial" w:cs="Arial"/>
              <w:noProof/>
              <w:kern w:val="2"/>
              <w:lang w:eastAsia="es-CO"/>
              <w14:ligatures w14:val="standardContextual"/>
            </w:rPr>
          </w:pPr>
          <w:r w:rsidRPr="008A6A0F">
            <w:rPr>
              <w:rFonts w:ascii="Arial" w:hAnsi="Arial" w:cs="Arial"/>
            </w:rPr>
            <w:fldChar w:fldCharType="begin"/>
          </w:r>
          <w:r w:rsidRPr="008A6A0F">
            <w:rPr>
              <w:rFonts w:ascii="Arial" w:hAnsi="Arial" w:cs="Arial"/>
            </w:rPr>
            <w:instrText xml:space="preserve"> TOC \o "1-3" \h \z \u </w:instrText>
          </w:r>
          <w:r w:rsidRPr="008A6A0F">
            <w:rPr>
              <w:rFonts w:ascii="Arial" w:hAnsi="Arial" w:cs="Arial"/>
            </w:rPr>
            <w:fldChar w:fldCharType="separate"/>
          </w:r>
          <w:hyperlink w:anchor="_Toc233574818" w:history="1">
            <w:r w:rsidR="008A6A0F" w:rsidRPr="008A6A0F">
              <w:rPr>
                <w:rStyle w:val="Hipervnculo"/>
                <w:rFonts w:ascii="Arial" w:eastAsia="Arial" w:hAnsi="Arial" w:cs="Arial"/>
                <w:noProof/>
              </w:rPr>
              <w:t>LISTA DE TABLAS</w:t>
            </w:r>
            <w:r w:rsidR="008A6A0F" w:rsidRPr="008A6A0F">
              <w:rPr>
                <w:rFonts w:ascii="Arial" w:hAnsi="Arial" w:cs="Arial"/>
                <w:noProof/>
                <w:webHidden/>
              </w:rPr>
              <w:tab/>
            </w:r>
            <w:r w:rsidR="008A6A0F" w:rsidRPr="008A6A0F">
              <w:rPr>
                <w:rFonts w:ascii="Arial" w:hAnsi="Arial" w:cs="Arial"/>
                <w:noProof/>
                <w:webHidden/>
              </w:rPr>
              <w:fldChar w:fldCharType="begin"/>
            </w:r>
            <w:r w:rsidR="008A6A0F" w:rsidRPr="008A6A0F">
              <w:rPr>
                <w:rFonts w:ascii="Arial" w:hAnsi="Arial" w:cs="Arial"/>
                <w:noProof/>
                <w:webHidden/>
              </w:rPr>
              <w:instrText xml:space="preserve"> PAGEREF _Toc233574818 \h </w:instrText>
            </w:r>
            <w:r w:rsidR="008A6A0F" w:rsidRPr="008A6A0F">
              <w:rPr>
                <w:rFonts w:ascii="Arial" w:hAnsi="Arial" w:cs="Arial"/>
                <w:noProof/>
                <w:webHidden/>
              </w:rPr>
            </w:r>
            <w:r w:rsidR="008A6A0F" w:rsidRPr="008A6A0F">
              <w:rPr>
                <w:rFonts w:ascii="Arial" w:hAnsi="Arial" w:cs="Arial"/>
                <w:noProof/>
                <w:webHidden/>
              </w:rPr>
              <w:fldChar w:fldCharType="separate"/>
            </w:r>
            <w:r w:rsidR="008A6A0F" w:rsidRPr="008A6A0F">
              <w:rPr>
                <w:rFonts w:ascii="Arial" w:hAnsi="Arial" w:cs="Arial"/>
                <w:noProof/>
                <w:webHidden/>
              </w:rPr>
              <w:t>3</w:t>
            </w:r>
            <w:r w:rsidR="008A6A0F" w:rsidRPr="008A6A0F">
              <w:rPr>
                <w:rFonts w:ascii="Arial" w:hAnsi="Arial" w:cs="Arial"/>
                <w:noProof/>
                <w:webHidden/>
              </w:rPr>
              <w:fldChar w:fldCharType="end"/>
            </w:r>
          </w:hyperlink>
        </w:p>
        <w:p w14:paraId="3FC14EC8" w14:textId="14AD31E1" w:rsidR="008A6A0F" w:rsidRPr="008A6A0F" w:rsidRDefault="008A6A0F" w:rsidP="005B2285">
          <w:pPr>
            <w:pStyle w:val="TDC1"/>
            <w:tabs>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19" w:history="1">
            <w:r w:rsidRPr="008A6A0F">
              <w:rPr>
                <w:rStyle w:val="Hipervnculo"/>
                <w:rFonts w:ascii="Arial" w:eastAsia="Arial" w:hAnsi="Arial" w:cs="Arial"/>
                <w:noProof/>
              </w:rPr>
              <w:t>LISTA DE GRÁFICAS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_Toc233574819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5</w:t>
            </w:r>
            <w:r w:rsidRPr="008A6A0F">
              <w:rPr>
                <w:rFonts w:ascii="Arial" w:hAnsi="Arial" w:cs="Arial"/>
                <w:noProof/>
                <w:webHidden/>
              </w:rPr>
              <w:fldChar w:fldCharType="end"/>
            </w:r>
          </w:hyperlink>
        </w:p>
        <w:p w14:paraId="75F81C5B" w14:textId="3332360A" w:rsidR="008A6A0F" w:rsidRPr="008A6A0F" w:rsidRDefault="008A6A0F" w:rsidP="005B2285">
          <w:pPr>
            <w:pStyle w:val="TDC1"/>
            <w:tabs>
              <w:tab w:val="left" w:pos="48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20" w:history="1">
            <w:r w:rsidRPr="008A6A0F">
              <w:rPr>
                <w:rStyle w:val="Hipervnculo"/>
                <w:rFonts w:ascii="Arial" w:eastAsia="Arial" w:hAnsi="Arial" w:cs="Arial"/>
                <w:noProof/>
              </w:rPr>
              <w:t>1.</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INTRODUCCIÓN</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_Toc233574820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6</w:t>
            </w:r>
            <w:r w:rsidRPr="008A6A0F">
              <w:rPr>
                <w:rFonts w:ascii="Arial" w:hAnsi="Arial" w:cs="Arial"/>
                <w:noProof/>
                <w:webHidden/>
              </w:rPr>
              <w:fldChar w:fldCharType="end"/>
            </w:r>
          </w:hyperlink>
        </w:p>
        <w:p w14:paraId="4A64B6C2" w14:textId="0ED051AC" w:rsidR="008A6A0F" w:rsidRPr="008A6A0F" w:rsidRDefault="008A6A0F" w:rsidP="005B2285">
          <w:pPr>
            <w:pStyle w:val="TDC1"/>
            <w:tabs>
              <w:tab w:val="left" w:pos="48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21" w:history="1">
            <w:r w:rsidRPr="008A6A0F">
              <w:rPr>
                <w:rStyle w:val="Hipervnculo"/>
                <w:rFonts w:ascii="Arial" w:eastAsia="Arial" w:hAnsi="Arial" w:cs="Arial"/>
                <w:noProof/>
              </w:rPr>
              <w:t>2.</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ANTECEDENTES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_Toc233574821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7</w:t>
            </w:r>
            <w:r w:rsidRPr="008A6A0F">
              <w:rPr>
                <w:rFonts w:ascii="Arial" w:hAnsi="Arial" w:cs="Arial"/>
                <w:noProof/>
                <w:webHidden/>
              </w:rPr>
              <w:fldChar w:fldCharType="end"/>
            </w:r>
          </w:hyperlink>
        </w:p>
        <w:p w14:paraId="14C4194E" w14:textId="26119DF6"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22" w:history="1">
            <w:r w:rsidRPr="008A6A0F">
              <w:rPr>
                <w:rStyle w:val="Hipervnculo"/>
                <w:rFonts w:ascii="Arial" w:eastAsia="Arial" w:hAnsi="Arial" w:cs="Arial"/>
                <w:noProof/>
              </w:rPr>
              <w:t>2.1</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 xml:space="preserve">Contexto del aseguramiento en Bogotá </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_Toc233574822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9</w:t>
            </w:r>
            <w:r w:rsidRPr="008A6A0F">
              <w:rPr>
                <w:rFonts w:ascii="Arial" w:hAnsi="Arial" w:cs="Arial"/>
                <w:noProof/>
                <w:webHidden/>
              </w:rPr>
              <w:fldChar w:fldCharType="end"/>
            </w:r>
          </w:hyperlink>
        </w:p>
        <w:p w14:paraId="420B7D3C" w14:textId="3786061E"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23" w:history="1">
            <w:r w:rsidRPr="008A6A0F">
              <w:rPr>
                <w:rStyle w:val="Hipervnculo"/>
                <w:rFonts w:ascii="Arial" w:hAnsi="Arial" w:cs="Arial"/>
                <w:noProof/>
              </w:rPr>
              <w:t>2.2</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Relación EPS – Ciudad</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_Toc233574823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16</w:t>
            </w:r>
            <w:r w:rsidRPr="008A6A0F">
              <w:rPr>
                <w:rFonts w:ascii="Arial" w:hAnsi="Arial" w:cs="Arial"/>
                <w:noProof/>
                <w:webHidden/>
              </w:rPr>
              <w:fldChar w:fldCharType="end"/>
            </w:r>
          </w:hyperlink>
        </w:p>
        <w:p w14:paraId="4DD02D9B" w14:textId="626A4469" w:rsidR="008A6A0F" w:rsidRPr="008A6A0F" w:rsidRDefault="008A6A0F" w:rsidP="005B2285">
          <w:pPr>
            <w:pStyle w:val="TDC1"/>
            <w:tabs>
              <w:tab w:val="left" w:pos="48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24" w:history="1">
            <w:r w:rsidRPr="008A6A0F">
              <w:rPr>
                <w:rStyle w:val="Hipervnculo"/>
                <w:rFonts w:ascii="Arial" w:eastAsia="Arial" w:hAnsi="Arial" w:cs="Arial"/>
                <w:noProof/>
              </w:rPr>
              <w:t>3.</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OBJETIVOS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_Toc233574824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19</w:t>
            </w:r>
            <w:r w:rsidRPr="008A6A0F">
              <w:rPr>
                <w:rFonts w:ascii="Arial" w:hAnsi="Arial" w:cs="Arial"/>
                <w:noProof/>
                <w:webHidden/>
              </w:rPr>
              <w:fldChar w:fldCharType="end"/>
            </w:r>
          </w:hyperlink>
        </w:p>
        <w:p w14:paraId="46725FBC" w14:textId="4091A77C"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25" w:history="1">
            <w:r w:rsidRPr="008A6A0F">
              <w:rPr>
                <w:rStyle w:val="Hipervnculo"/>
                <w:rFonts w:ascii="Arial" w:eastAsia="Arial" w:hAnsi="Arial" w:cs="Arial"/>
                <w:noProof/>
              </w:rPr>
              <w:t>3.1</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Objetivo general</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_Toc233574825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19</w:t>
            </w:r>
            <w:r w:rsidRPr="008A6A0F">
              <w:rPr>
                <w:rFonts w:ascii="Arial" w:hAnsi="Arial" w:cs="Arial"/>
                <w:noProof/>
                <w:webHidden/>
              </w:rPr>
              <w:fldChar w:fldCharType="end"/>
            </w:r>
          </w:hyperlink>
        </w:p>
        <w:p w14:paraId="2CCF93A1" w14:textId="4AD910BA"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26" w:history="1">
            <w:r w:rsidRPr="008A6A0F">
              <w:rPr>
                <w:rStyle w:val="Hipervnculo"/>
                <w:rFonts w:ascii="Arial" w:eastAsia="Arial" w:hAnsi="Arial" w:cs="Arial"/>
                <w:noProof/>
              </w:rPr>
              <w:t>3.2</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Objetivos específicos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_Toc233574826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19</w:t>
            </w:r>
            <w:r w:rsidRPr="008A6A0F">
              <w:rPr>
                <w:rFonts w:ascii="Arial" w:hAnsi="Arial" w:cs="Arial"/>
                <w:noProof/>
                <w:webHidden/>
              </w:rPr>
              <w:fldChar w:fldCharType="end"/>
            </w:r>
          </w:hyperlink>
        </w:p>
        <w:p w14:paraId="325F4348" w14:textId="04370A49" w:rsidR="008A6A0F" w:rsidRPr="008A6A0F" w:rsidRDefault="008A6A0F" w:rsidP="005B2285">
          <w:pPr>
            <w:pStyle w:val="TDC1"/>
            <w:tabs>
              <w:tab w:val="left" w:pos="48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27" w:history="1">
            <w:r w:rsidRPr="008A6A0F">
              <w:rPr>
                <w:rStyle w:val="Hipervnculo"/>
                <w:rFonts w:ascii="Arial" w:eastAsia="Arial" w:hAnsi="Arial" w:cs="Arial"/>
                <w:noProof/>
              </w:rPr>
              <w:t>4.</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RECLAMACIONES EN SALUD</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_Toc233574827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20</w:t>
            </w:r>
            <w:r w:rsidRPr="008A6A0F">
              <w:rPr>
                <w:rFonts w:ascii="Arial" w:hAnsi="Arial" w:cs="Arial"/>
                <w:noProof/>
                <w:webHidden/>
              </w:rPr>
              <w:fldChar w:fldCharType="end"/>
            </w:r>
          </w:hyperlink>
        </w:p>
        <w:p w14:paraId="0BA4F90D" w14:textId="524E42C6"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28" w:history="1">
            <w:r w:rsidRPr="008A6A0F">
              <w:rPr>
                <w:rStyle w:val="Hipervnculo"/>
                <w:rFonts w:ascii="Arial" w:eastAsia="Arial" w:hAnsi="Arial" w:cs="Arial"/>
                <w:noProof/>
              </w:rPr>
              <w:t>4.1</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Comportamiento de las Reclamaciones – Capital Salud EPS-S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_Toc233574828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23</w:t>
            </w:r>
            <w:r w:rsidRPr="008A6A0F">
              <w:rPr>
                <w:rFonts w:ascii="Arial" w:hAnsi="Arial" w:cs="Arial"/>
                <w:noProof/>
                <w:webHidden/>
              </w:rPr>
              <w:fldChar w:fldCharType="end"/>
            </w:r>
          </w:hyperlink>
        </w:p>
        <w:p w14:paraId="52F31DAC" w14:textId="23BA6EF2"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29" w:history="1">
            <w:r w:rsidRPr="008A6A0F">
              <w:rPr>
                <w:rStyle w:val="Hipervnculo"/>
                <w:rFonts w:ascii="Arial" w:eastAsia="Arial" w:hAnsi="Arial" w:cs="Arial"/>
                <w:noProof/>
              </w:rPr>
              <w:t>4.2</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Oportunidad en la respuesta a las PQRSD (Indicadores)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_Toc233574829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24</w:t>
            </w:r>
            <w:r w:rsidRPr="008A6A0F">
              <w:rPr>
                <w:rFonts w:ascii="Arial" w:hAnsi="Arial" w:cs="Arial"/>
                <w:noProof/>
                <w:webHidden/>
              </w:rPr>
              <w:fldChar w:fldCharType="end"/>
            </w:r>
          </w:hyperlink>
        </w:p>
        <w:p w14:paraId="53C620EE" w14:textId="636D1816"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30" w:history="1">
            <w:r w:rsidRPr="008A6A0F">
              <w:rPr>
                <w:rStyle w:val="Hipervnculo"/>
                <w:rFonts w:ascii="Arial" w:eastAsia="Arial" w:hAnsi="Arial" w:cs="Arial"/>
                <w:noProof/>
              </w:rPr>
              <w:t>4.3</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Principales barreras de acceso identificadas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_Toc233574830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28</w:t>
            </w:r>
            <w:r w:rsidRPr="008A6A0F">
              <w:rPr>
                <w:rFonts w:ascii="Arial" w:hAnsi="Arial" w:cs="Arial"/>
                <w:noProof/>
                <w:webHidden/>
              </w:rPr>
              <w:fldChar w:fldCharType="end"/>
            </w:r>
          </w:hyperlink>
        </w:p>
        <w:p w14:paraId="72EA354E" w14:textId="0A89EF99"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31" w:history="1">
            <w:r w:rsidRPr="008A6A0F">
              <w:rPr>
                <w:rStyle w:val="Hipervnculo"/>
                <w:rFonts w:ascii="Arial" w:eastAsia="Arial" w:hAnsi="Arial" w:cs="Arial"/>
                <w:noProof/>
              </w:rPr>
              <w:t>4.4</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Secretaría Distrital - Gestión de PQRS de Salud 2025 en CAPITAL SALUD</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_Toc233574831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30</w:t>
            </w:r>
            <w:r w:rsidRPr="008A6A0F">
              <w:rPr>
                <w:rFonts w:ascii="Arial" w:hAnsi="Arial" w:cs="Arial"/>
                <w:noProof/>
                <w:webHidden/>
              </w:rPr>
              <w:fldChar w:fldCharType="end"/>
            </w:r>
          </w:hyperlink>
        </w:p>
        <w:p w14:paraId="1E0BF24A" w14:textId="6F74C565"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32" w:history="1">
            <w:r w:rsidRPr="008A6A0F">
              <w:rPr>
                <w:rStyle w:val="Hipervnculo"/>
                <w:rFonts w:ascii="Arial" w:eastAsia="Arial" w:hAnsi="Arial" w:cs="Arial"/>
                <w:noProof/>
              </w:rPr>
              <w:t>4.5</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Oportunidad de respuesta Capital Salud EPS año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_Toc233574832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32</w:t>
            </w:r>
            <w:r w:rsidRPr="008A6A0F">
              <w:rPr>
                <w:rFonts w:ascii="Arial" w:hAnsi="Arial" w:cs="Arial"/>
                <w:noProof/>
                <w:webHidden/>
              </w:rPr>
              <w:fldChar w:fldCharType="end"/>
            </w:r>
          </w:hyperlink>
        </w:p>
        <w:p w14:paraId="4B5ACB96" w14:textId="2153643D"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33" w:history="1">
            <w:r w:rsidRPr="008A6A0F">
              <w:rPr>
                <w:rStyle w:val="Hipervnculo"/>
                <w:rFonts w:ascii="Arial" w:eastAsia="Arial" w:hAnsi="Arial" w:cs="Arial"/>
                <w:noProof/>
              </w:rPr>
              <w:t>4.6</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Barreras de acceso años 2025 Capital Salud EPS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_Toc233574833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33</w:t>
            </w:r>
            <w:r w:rsidRPr="008A6A0F">
              <w:rPr>
                <w:rFonts w:ascii="Arial" w:hAnsi="Arial" w:cs="Arial"/>
                <w:noProof/>
                <w:webHidden/>
              </w:rPr>
              <w:fldChar w:fldCharType="end"/>
            </w:r>
          </w:hyperlink>
        </w:p>
        <w:p w14:paraId="75411700" w14:textId="0BCA5FCB" w:rsidR="008A6A0F" w:rsidRPr="008A6A0F" w:rsidRDefault="008A6A0F" w:rsidP="005B2285">
          <w:pPr>
            <w:pStyle w:val="TDC1"/>
            <w:tabs>
              <w:tab w:val="left" w:pos="48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34" w:history="1">
            <w:r w:rsidRPr="008A6A0F">
              <w:rPr>
                <w:rStyle w:val="Hipervnculo"/>
                <w:rFonts w:ascii="Arial" w:hAnsi="Arial" w:cs="Arial"/>
                <w:noProof/>
              </w:rPr>
              <w:t>5.</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RESULTADOS EN SALUD Y GESTIÓN DEL RIESGO</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_Toc233574834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34</w:t>
            </w:r>
            <w:r w:rsidRPr="008A6A0F">
              <w:rPr>
                <w:rFonts w:ascii="Arial" w:hAnsi="Arial" w:cs="Arial"/>
                <w:noProof/>
                <w:webHidden/>
              </w:rPr>
              <w:fldChar w:fldCharType="end"/>
            </w:r>
          </w:hyperlink>
        </w:p>
        <w:p w14:paraId="5D1C4F36" w14:textId="4489A857"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35" w:history="1">
            <w:r w:rsidRPr="008A6A0F">
              <w:rPr>
                <w:rStyle w:val="Hipervnculo"/>
                <w:rFonts w:ascii="Arial" w:hAnsi="Arial" w:cs="Arial"/>
                <w:noProof/>
              </w:rPr>
              <w:t>5.1</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Mortalidad materna</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_Toc233574835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34</w:t>
            </w:r>
            <w:r w:rsidRPr="008A6A0F">
              <w:rPr>
                <w:rFonts w:ascii="Arial" w:hAnsi="Arial" w:cs="Arial"/>
                <w:noProof/>
                <w:webHidden/>
              </w:rPr>
              <w:fldChar w:fldCharType="end"/>
            </w:r>
          </w:hyperlink>
        </w:p>
        <w:p w14:paraId="2217C055" w14:textId="665F15D8"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36" w:history="1">
            <w:r w:rsidRPr="008A6A0F">
              <w:rPr>
                <w:rStyle w:val="Hipervnculo"/>
                <w:rFonts w:ascii="Arial" w:hAnsi="Arial" w:cs="Arial"/>
                <w:noProof/>
                <w:lang w:eastAsia="en-US"/>
              </w:rPr>
              <w:t>5.2</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Mortalidad Infantil</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_Toc233574836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39</w:t>
            </w:r>
            <w:r w:rsidRPr="008A6A0F">
              <w:rPr>
                <w:rFonts w:ascii="Arial" w:hAnsi="Arial" w:cs="Arial"/>
                <w:noProof/>
                <w:webHidden/>
              </w:rPr>
              <w:fldChar w:fldCharType="end"/>
            </w:r>
          </w:hyperlink>
        </w:p>
        <w:p w14:paraId="043A3E12" w14:textId="0E26DD16"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37" w:history="1">
            <w:r w:rsidRPr="008A6A0F">
              <w:rPr>
                <w:rStyle w:val="Hipervnculo"/>
                <w:rFonts w:ascii="Arial" w:hAnsi="Arial" w:cs="Arial"/>
                <w:noProof/>
              </w:rPr>
              <w:t>5.3</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Coberturas de vacunación</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_Toc233574837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44</w:t>
            </w:r>
            <w:r w:rsidRPr="008A6A0F">
              <w:rPr>
                <w:rFonts w:ascii="Arial" w:hAnsi="Arial" w:cs="Arial"/>
                <w:noProof/>
                <w:webHidden/>
              </w:rPr>
              <w:fldChar w:fldCharType="end"/>
            </w:r>
          </w:hyperlink>
        </w:p>
        <w:p w14:paraId="496BED10" w14:textId="05DC34EB" w:rsidR="008A6A0F" w:rsidRPr="008A6A0F" w:rsidRDefault="008A6A0F" w:rsidP="005B2285">
          <w:pPr>
            <w:pStyle w:val="TDC3"/>
            <w:tabs>
              <w:tab w:val="left" w:pos="144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38" w:history="1">
            <w:r w:rsidRPr="008A6A0F">
              <w:rPr>
                <w:rStyle w:val="Hipervnculo"/>
                <w:rFonts w:ascii="Arial" w:hAnsi="Arial" w:cs="Arial"/>
                <w:noProof/>
              </w:rPr>
              <w:t>5.3.1</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Refuerzo triple viral (18 meses)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_Toc233574838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45</w:t>
            </w:r>
            <w:r w:rsidRPr="008A6A0F">
              <w:rPr>
                <w:rFonts w:ascii="Arial" w:hAnsi="Arial" w:cs="Arial"/>
                <w:noProof/>
                <w:webHidden/>
              </w:rPr>
              <w:fldChar w:fldCharType="end"/>
            </w:r>
          </w:hyperlink>
        </w:p>
        <w:p w14:paraId="4C726550" w14:textId="1AF34E5B" w:rsidR="008A6A0F" w:rsidRPr="008A6A0F" w:rsidRDefault="008A6A0F" w:rsidP="005B2285">
          <w:pPr>
            <w:pStyle w:val="TDC3"/>
            <w:tabs>
              <w:tab w:val="left" w:pos="144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39" w:history="1">
            <w:r w:rsidRPr="008A6A0F">
              <w:rPr>
                <w:rStyle w:val="Hipervnculo"/>
                <w:rFonts w:ascii="Arial" w:hAnsi="Arial" w:cs="Arial"/>
                <w:noProof/>
              </w:rPr>
              <w:t>5.3.2</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Vacunación contra Virus del Papiloma Humano (VPH)</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_Toc233574839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46</w:t>
            </w:r>
            <w:r w:rsidRPr="008A6A0F">
              <w:rPr>
                <w:rFonts w:ascii="Arial" w:hAnsi="Arial" w:cs="Arial"/>
                <w:noProof/>
                <w:webHidden/>
              </w:rPr>
              <w:fldChar w:fldCharType="end"/>
            </w:r>
          </w:hyperlink>
        </w:p>
        <w:p w14:paraId="5BA59A7B" w14:textId="4E05A84C" w:rsidR="008A6A0F" w:rsidRPr="008A6A0F" w:rsidRDefault="008A6A0F" w:rsidP="005B2285">
          <w:pPr>
            <w:pStyle w:val="TDC3"/>
            <w:tabs>
              <w:tab w:val="left" w:pos="144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40" w:history="1">
            <w:r w:rsidRPr="008A6A0F">
              <w:rPr>
                <w:rStyle w:val="Hipervnculo"/>
                <w:rFonts w:ascii="Arial" w:hAnsi="Arial" w:cs="Arial"/>
                <w:noProof/>
              </w:rPr>
              <w:t>5.3.3</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Vacunación contra Influenza Estacional</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_Toc233574840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48</w:t>
            </w:r>
            <w:r w:rsidRPr="008A6A0F">
              <w:rPr>
                <w:rFonts w:ascii="Arial" w:hAnsi="Arial" w:cs="Arial"/>
                <w:noProof/>
                <w:webHidden/>
              </w:rPr>
              <w:fldChar w:fldCharType="end"/>
            </w:r>
          </w:hyperlink>
        </w:p>
        <w:p w14:paraId="7B245A84" w14:textId="13A11CDA" w:rsidR="008A6A0F" w:rsidRPr="008A6A0F" w:rsidRDefault="008A6A0F" w:rsidP="005B2285">
          <w:pPr>
            <w:pStyle w:val="TDC3"/>
            <w:tabs>
              <w:tab w:val="left" w:pos="144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41" w:history="1">
            <w:r w:rsidRPr="008A6A0F">
              <w:rPr>
                <w:rStyle w:val="Hipervnculo"/>
                <w:rFonts w:ascii="Arial" w:hAnsi="Arial" w:cs="Arial"/>
                <w:noProof/>
              </w:rPr>
              <w:t>5.3.4</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Vacunación contra Fiebre Amarilla</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_Toc233574841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49</w:t>
            </w:r>
            <w:r w:rsidRPr="008A6A0F">
              <w:rPr>
                <w:rFonts w:ascii="Arial" w:hAnsi="Arial" w:cs="Arial"/>
                <w:noProof/>
                <w:webHidden/>
              </w:rPr>
              <w:fldChar w:fldCharType="end"/>
            </w:r>
          </w:hyperlink>
        </w:p>
        <w:p w14:paraId="3CB16121" w14:textId="759A653C" w:rsidR="008A6A0F" w:rsidRPr="008A6A0F" w:rsidRDefault="008A6A0F" w:rsidP="005B2285">
          <w:pPr>
            <w:pStyle w:val="TDC3"/>
            <w:tabs>
              <w:tab w:val="left" w:pos="144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42" w:history="1">
            <w:r w:rsidRPr="008A6A0F">
              <w:rPr>
                <w:rStyle w:val="Hipervnculo"/>
                <w:rFonts w:ascii="Arial" w:hAnsi="Arial" w:cs="Arial"/>
                <w:noProof/>
              </w:rPr>
              <w:t>5.3.5</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Vacunación contra Sarampión-Rubéola</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_Toc233574842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51</w:t>
            </w:r>
            <w:r w:rsidRPr="008A6A0F">
              <w:rPr>
                <w:rFonts w:ascii="Arial" w:hAnsi="Arial" w:cs="Arial"/>
                <w:noProof/>
                <w:webHidden/>
              </w:rPr>
              <w:fldChar w:fldCharType="end"/>
            </w:r>
          </w:hyperlink>
        </w:p>
        <w:p w14:paraId="7BE80D78" w14:textId="76E64125" w:rsidR="008A6A0F" w:rsidRPr="008A6A0F" w:rsidRDefault="008A6A0F" w:rsidP="005B2285">
          <w:pPr>
            <w:pStyle w:val="TDC1"/>
            <w:tabs>
              <w:tab w:val="left" w:pos="48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43" w:history="1">
            <w:r w:rsidRPr="008A6A0F">
              <w:rPr>
                <w:rStyle w:val="Hipervnculo"/>
                <w:rFonts w:ascii="Arial" w:eastAsia="Arial" w:hAnsi="Arial" w:cs="Arial"/>
                <w:noProof/>
              </w:rPr>
              <w:t>6.</w:t>
            </w:r>
            <w:r w:rsidRPr="008A6A0F">
              <w:rPr>
                <w:rFonts w:ascii="Arial" w:eastAsiaTheme="minorEastAsia" w:hAnsi="Arial" w:cs="Arial"/>
                <w:noProof/>
                <w:kern w:val="2"/>
                <w:lang w:eastAsia="es-CO"/>
                <w14:ligatures w14:val="standardContextual"/>
              </w:rPr>
              <w:tab/>
            </w:r>
            <w:r w:rsidRPr="008A6A0F">
              <w:rPr>
                <w:rStyle w:val="Hipervnculo"/>
                <w:rFonts w:ascii="Arial" w:eastAsia="Arial" w:hAnsi="Arial" w:cs="Arial"/>
                <w:noProof/>
              </w:rPr>
              <w:t>RED PRESTADORA Y CAPACIDAD INSTALADA</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_Toc233574843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52</w:t>
            </w:r>
            <w:r w:rsidRPr="008A6A0F">
              <w:rPr>
                <w:rFonts w:ascii="Arial" w:hAnsi="Arial" w:cs="Arial"/>
                <w:noProof/>
                <w:webHidden/>
              </w:rPr>
              <w:fldChar w:fldCharType="end"/>
            </w:r>
          </w:hyperlink>
        </w:p>
        <w:p w14:paraId="1059B6AC" w14:textId="56AD355D"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44" w:history="1">
            <w:r w:rsidRPr="008A6A0F">
              <w:rPr>
                <w:rStyle w:val="Hipervnculo"/>
                <w:rFonts w:ascii="Arial" w:eastAsia="Arial" w:hAnsi="Arial" w:cs="Arial"/>
                <w:noProof/>
              </w:rPr>
              <w:t>6.1</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Análisis Capital Salud Vs. Grupo de atención y monitoreo en salud – GAMA Secretaría Distrital de Salud – Red Prestadora</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_Toc233574844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53</w:t>
            </w:r>
            <w:r w:rsidRPr="008A6A0F">
              <w:rPr>
                <w:rFonts w:ascii="Arial" w:hAnsi="Arial" w:cs="Arial"/>
                <w:noProof/>
                <w:webHidden/>
              </w:rPr>
              <w:fldChar w:fldCharType="end"/>
            </w:r>
          </w:hyperlink>
        </w:p>
        <w:p w14:paraId="5CC1A48C" w14:textId="2852754F"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45" w:history="1">
            <w:r w:rsidRPr="008A6A0F">
              <w:rPr>
                <w:rStyle w:val="Hipervnculo"/>
                <w:rFonts w:ascii="Arial" w:hAnsi="Arial" w:cs="Arial"/>
                <w:noProof/>
              </w:rPr>
              <w:t>6.2</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Análisis Capital Salud oportunidad en la asignación de citas médicas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_Toc233574845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57</w:t>
            </w:r>
            <w:r w:rsidRPr="008A6A0F">
              <w:rPr>
                <w:rFonts w:ascii="Arial" w:hAnsi="Arial" w:cs="Arial"/>
                <w:noProof/>
                <w:webHidden/>
              </w:rPr>
              <w:fldChar w:fldCharType="end"/>
            </w:r>
          </w:hyperlink>
        </w:p>
        <w:p w14:paraId="0BD27451" w14:textId="099C134E" w:rsidR="008A6A0F" w:rsidRPr="008A6A0F" w:rsidRDefault="008A6A0F" w:rsidP="005B2285">
          <w:pPr>
            <w:pStyle w:val="TDC1"/>
            <w:tabs>
              <w:tab w:val="left" w:pos="48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46" w:history="1">
            <w:r w:rsidRPr="008A6A0F">
              <w:rPr>
                <w:rStyle w:val="Hipervnculo"/>
                <w:rFonts w:ascii="Arial" w:hAnsi="Arial" w:cs="Arial"/>
                <w:noProof/>
              </w:rPr>
              <w:t>7.</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MEDICAMENTOS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_Toc233574846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58</w:t>
            </w:r>
            <w:r w:rsidRPr="008A6A0F">
              <w:rPr>
                <w:rFonts w:ascii="Arial" w:hAnsi="Arial" w:cs="Arial"/>
                <w:noProof/>
                <w:webHidden/>
              </w:rPr>
              <w:fldChar w:fldCharType="end"/>
            </w:r>
          </w:hyperlink>
        </w:p>
        <w:p w14:paraId="23C4F8A8" w14:textId="1B70295E"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47" w:history="1">
            <w:r w:rsidRPr="008A6A0F">
              <w:rPr>
                <w:rStyle w:val="Hipervnculo"/>
                <w:rFonts w:ascii="Arial" w:hAnsi="Arial" w:cs="Arial"/>
                <w:noProof/>
              </w:rPr>
              <w:t>7.1</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Análisis de información del servicio farmacéutico aportada por Capital Salud EPS-S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_Toc233574847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59</w:t>
            </w:r>
            <w:r w:rsidRPr="008A6A0F">
              <w:rPr>
                <w:rFonts w:ascii="Arial" w:hAnsi="Arial" w:cs="Arial"/>
                <w:noProof/>
                <w:webHidden/>
              </w:rPr>
              <w:fldChar w:fldCharType="end"/>
            </w:r>
          </w:hyperlink>
        </w:p>
        <w:p w14:paraId="56840578" w14:textId="310E07B3"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48" w:history="1">
            <w:r w:rsidRPr="008A6A0F">
              <w:rPr>
                <w:rStyle w:val="Hipervnculo"/>
                <w:rFonts w:ascii="Arial" w:hAnsi="Arial" w:cs="Arial"/>
                <w:noProof/>
              </w:rPr>
              <w:t>7.2</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Análisis por cohorte priorizada 2025: solicitudes, pendientes, no entrega efectiva y entrega efectiva de medicamentos (enero-octubre de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_Toc233574848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65</w:t>
            </w:r>
            <w:r w:rsidRPr="008A6A0F">
              <w:rPr>
                <w:rFonts w:ascii="Arial" w:hAnsi="Arial" w:cs="Arial"/>
                <w:noProof/>
                <w:webHidden/>
              </w:rPr>
              <w:fldChar w:fldCharType="end"/>
            </w:r>
          </w:hyperlink>
        </w:p>
        <w:p w14:paraId="21D2AE87" w14:textId="235A4A62"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49" w:history="1">
            <w:r w:rsidRPr="008A6A0F">
              <w:rPr>
                <w:rStyle w:val="Hipervnculo"/>
                <w:rFonts w:ascii="Arial" w:hAnsi="Arial" w:cs="Arial"/>
                <w:noProof/>
              </w:rPr>
              <w:t>7.3</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Dispensación de medicamentos en cohortes priorizadas de alto riesgo: continuidad terapéutica y riesgo clínico</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_Toc233574849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74</w:t>
            </w:r>
            <w:r w:rsidRPr="008A6A0F">
              <w:rPr>
                <w:rFonts w:ascii="Arial" w:hAnsi="Arial" w:cs="Arial"/>
                <w:noProof/>
                <w:webHidden/>
              </w:rPr>
              <w:fldChar w:fldCharType="end"/>
            </w:r>
          </w:hyperlink>
        </w:p>
        <w:p w14:paraId="2A7E3408" w14:textId="4ABE81DE"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50" w:history="1">
            <w:r w:rsidRPr="008A6A0F">
              <w:rPr>
                <w:rStyle w:val="Hipervnculo"/>
                <w:rFonts w:ascii="Arial" w:hAnsi="Arial" w:cs="Arial"/>
                <w:noProof/>
              </w:rPr>
              <w:t>7.4</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Indicadores dispensación de medicamentos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_Toc233574850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75</w:t>
            </w:r>
            <w:r w:rsidRPr="008A6A0F">
              <w:rPr>
                <w:rFonts w:ascii="Arial" w:hAnsi="Arial" w:cs="Arial"/>
                <w:noProof/>
                <w:webHidden/>
              </w:rPr>
              <w:fldChar w:fldCharType="end"/>
            </w:r>
          </w:hyperlink>
        </w:p>
        <w:p w14:paraId="469ED938" w14:textId="43DA6363" w:rsidR="008A6A0F" w:rsidRPr="008A6A0F" w:rsidRDefault="008A6A0F" w:rsidP="005B2285">
          <w:pPr>
            <w:pStyle w:val="TDC1"/>
            <w:tabs>
              <w:tab w:val="left" w:pos="48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51" w:history="1">
            <w:r w:rsidRPr="008A6A0F">
              <w:rPr>
                <w:rStyle w:val="Hipervnculo"/>
                <w:rFonts w:ascii="Arial" w:hAnsi="Arial" w:cs="Arial"/>
                <w:noProof/>
              </w:rPr>
              <w:t>8.</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ANÁLISIS FINANCIERO</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_Toc233574851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77</w:t>
            </w:r>
            <w:r w:rsidRPr="008A6A0F">
              <w:rPr>
                <w:rFonts w:ascii="Arial" w:hAnsi="Arial" w:cs="Arial"/>
                <w:noProof/>
                <w:webHidden/>
              </w:rPr>
              <w:fldChar w:fldCharType="end"/>
            </w:r>
          </w:hyperlink>
        </w:p>
        <w:p w14:paraId="570009AA" w14:textId="1A136760"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52" w:history="1">
            <w:r w:rsidRPr="008A6A0F">
              <w:rPr>
                <w:rStyle w:val="Hipervnculo"/>
                <w:rFonts w:ascii="Arial" w:hAnsi="Arial" w:cs="Arial"/>
                <w:noProof/>
              </w:rPr>
              <w:t>8.1</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Estado de situación financiera</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_Toc233574852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78</w:t>
            </w:r>
            <w:r w:rsidRPr="008A6A0F">
              <w:rPr>
                <w:rFonts w:ascii="Arial" w:hAnsi="Arial" w:cs="Arial"/>
                <w:noProof/>
                <w:webHidden/>
              </w:rPr>
              <w:fldChar w:fldCharType="end"/>
            </w:r>
          </w:hyperlink>
        </w:p>
        <w:p w14:paraId="377FB42C" w14:textId="4B751324"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53" w:history="1">
            <w:r w:rsidRPr="008A6A0F">
              <w:rPr>
                <w:rStyle w:val="Hipervnculo"/>
                <w:rFonts w:ascii="Arial" w:hAnsi="Arial" w:cs="Arial"/>
                <w:noProof/>
              </w:rPr>
              <w:t>8.2</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Patrimonio</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_Toc233574853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83</w:t>
            </w:r>
            <w:r w:rsidRPr="008A6A0F">
              <w:rPr>
                <w:rFonts w:ascii="Arial" w:hAnsi="Arial" w:cs="Arial"/>
                <w:noProof/>
                <w:webHidden/>
              </w:rPr>
              <w:fldChar w:fldCharType="end"/>
            </w:r>
          </w:hyperlink>
        </w:p>
        <w:p w14:paraId="392FC7AA" w14:textId="3D16BB4E"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54" w:history="1">
            <w:r w:rsidRPr="008A6A0F">
              <w:rPr>
                <w:rStyle w:val="Hipervnculo"/>
                <w:rFonts w:ascii="Arial" w:hAnsi="Arial" w:cs="Arial"/>
                <w:noProof/>
              </w:rPr>
              <w:t>8.3</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Cuentas por pagar</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_Toc233574854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86</w:t>
            </w:r>
            <w:r w:rsidRPr="008A6A0F">
              <w:rPr>
                <w:rFonts w:ascii="Arial" w:hAnsi="Arial" w:cs="Arial"/>
                <w:noProof/>
                <w:webHidden/>
              </w:rPr>
              <w:fldChar w:fldCharType="end"/>
            </w:r>
          </w:hyperlink>
        </w:p>
        <w:p w14:paraId="790B89C3" w14:textId="4B8326C3"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55" w:history="1">
            <w:r w:rsidRPr="008A6A0F">
              <w:rPr>
                <w:rStyle w:val="Hipervnculo"/>
                <w:rFonts w:ascii="Arial" w:hAnsi="Arial" w:cs="Arial"/>
                <w:noProof/>
              </w:rPr>
              <w:t>8.4</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Reservas técnicas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_Toc233574855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88</w:t>
            </w:r>
            <w:r w:rsidRPr="008A6A0F">
              <w:rPr>
                <w:rFonts w:ascii="Arial" w:hAnsi="Arial" w:cs="Arial"/>
                <w:noProof/>
                <w:webHidden/>
              </w:rPr>
              <w:fldChar w:fldCharType="end"/>
            </w:r>
          </w:hyperlink>
        </w:p>
        <w:p w14:paraId="4AB10935" w14:textId="3B320D41"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56" w:history="1">
            <w:r w:rsidRPr="008A6A0F">
              <w:rPr>
                <w:rStyle w:val="Hipervnculo"/>
                <w:rFonts w:ascii="Arial" w:hAnsi="Arial" w:cs="Arial"/>
                <w:noProof/>
              </w:rPr>
              <w:t>8.5</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Endeudamiento</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_Toc233574856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90</w:t>
            </w:r>
            <w:r w:rsidRPr="008A6A0F">
              <w:rPr>
                <w:rFonts w:ascii="Arial" w:hAnsi="Arial" w:cs="Arial"/>
                <w:noProof/>
                <w:webHidden/>
              </w:rPr>
              <w:fldChar w:fldCharType="end"/>
            </w:r>
          </w:hyperlink>
        </w:p>
        <w:p w14:paraId="04BB0A67" w14:textId="00D71DE4" w:rsidR="008A6A0F" w:rsidRPr="008A6A0F" w:rsidRDefault="008A6A0F" w:rsidP="005B2285">
          <w:pPr>
            <w:pStyle w:val="TDC2"/>
            <w:spacing w:after="0"/>
            <w:jc w:val="both"/>
            <w:rPr>
              <w:rFonts w:ascii="Arial" w:eastAsiaTheme="minorEastAsia" w:hAnsi="Arial" w:cs="Arial"/>
              <w:noProof/>
              <w:kern w:val="2"/>
              <w:lang w:eastAsia="es-CO"/>
              <w14:ligatures w14:val="standardContextual"/>
            </w:rPr>
          </w:pPr>
          <w:hyperlink w:anchor="_Toc233574857" w:history="1">
            <w:r w:rsidRPr="008A6A0F">
              <w:rPr>
                <w:rStyle w:val="Hipervnculo"/>
                <w:rFonts w:ascii="Arial" w:hAnsi="Arial" w:cs="Arial"/>
                <w:noProof/>
              </w:rPr>
              <w:t>8.6</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Siniestralidad</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_Toc233574857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91</w:t>
            </w:r>
            <w:r w:rsidRPr="008A6A0F">
              <w:rPr>
                <w:rFonts w:ascii="Arial" w:hAnsi="Arial" w:cs="Arial"/>
                <w:noProof/>
                <w:webHidden/>
              </w:rPr>
              <w:fldChar w:fldCharType="end"/>
            </w:r>
          </w:hyperlink>
        </w:p>
        <w:p w14:paraId="168AC439" w14:textId="0C7F2564" w:rsidR="008A6A0F" w:rsidRPr="008A6A0F" w:rsidRDefault="008A6A0F" w:rsidP="005B2285">
          <w:pPr>
            <w:pStyle w:val="TDC1"/>
            <w:tabs>
              <w:tab w:val="left" w:pos="48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58" w:history="1">
            <w:r w:rsidRPr="008A6A0F">
              <w:rPr>
                <w:rStyle w:val="Hipervnculo"/>
                <w:rFonts w:ascii="Arial" w:hAnsi="Arial" w:cs="Arial"/>
                <w:noProof/>
              </w:rPr>
              <w:t>9.</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CONCLUSIONES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_Toc233574858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93</w:t>
            </w:r>
            <w:r w:rsidRPr="008A6A0F">
              <w:rPr>
                <w:rFonts w:ascii="Arial" w:hAnsi="Arial" w:cs="Arial"/>
                <w:noProof/>
                <w:webHidden/>
              </w:rPr>
              <w:fldChar w:fldCharType="end"/>
            </w:r>
          </w:hyperlink>
        </w:p>
        <w:p w14:paraId="64967806" w14:textId="1B7DDB55" w:rsidR="008A6A0F" w:rsidRPr="008A6A0F" w:rsidRDefault="008A6A0F" w:rsidP="005B2285">
          <w:pPr>
            <w:pStyle w:val="TDC1"/>
            <w:tabs>
              <w:tab w:val="left" w:pos="72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59" w:history="1">
            <w:r w:rsidRPr="008A6A0F">
              <w:rPr>
                <w:rStyle w:val="Hipervnculo"/>
                <w:rFonts w:ascii="Arial" w:hAnsi="Arial" w:cs="Arial"/>
                <w:noProof/>
              </w:rPr>
              <w:t>10.</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GLOSARIO DE TÉRMINOS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_Toc233574859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99</w:t>
            </w:r>
            <w:r w:rsidRPr="008A6A0F">
              <w:rPr>
                <w:rFonts w:ascii="Arial" w:hAnsi="Arial" w:cs="Arial"/>
                <w:noProof/>
                <w:webHidden/>
              </w:rPr>
              <w:fldChar w:fldCharType="end"/>
            </w:r>
          </w:hyperlink>
        </w:p>
        <w:p w14:paraId="7B877CA8" w14:textId="1F71FEE3" w:rsidR="008A6A0F" w:rsidRPr="008A6A0F" w:rsidRDefault="008A6A0F" w:rsidP="005B2285">
          <w:pPr>
            <w:pStyle w:val="TDC1"/>
            <w:tabs>
              <w:tab w:val="left" w:pos="720"/>
              <w:tab w:val="right" w:leader="dot" w:pos="8828"/>
            </w:tabs>
            <w:spacing w:after="0" w:line="360" w:lineRule="auto"/>
            <w:jc w:val="both"/>
            <w:rPr>
              <w:rFonts w:ascii="Arial" w:eastAsiaTheme="minorEastAsia" w:hAnsi="Arial" w:cs="Arial"/>
              <w:noProof/>
              <w:kern w:val="2"/>
              <w:lang w:eastAsia="es-CO"/>
              <w14:ligatures w14:val="standardContextual"/>
            </w:rPr>
          </w:pPr>
          <w:hyperlink w:anchor="_Toc233574860" w:history="1">
            <w:r w:rsidRPr="008A6A0F">
              <w:rPr>
                <w:rStyle w:val="Hipervnculo"/>
                <w:rFonts w:ascii="Arial" w:hAnsi="Arial" w:cs="Arial"/>
                <w:noProof/>
              </w:rPr>
              <w:t>11.</w:t>
            </w:r>
            <w:r w:rsidRPr="008A6A0F">
              <w:rPr>
                <w:rFonts w:ascii="Arial" w:eastAsiaTheme="minorEastAsia" w:hAnsi="Arial" w:cs="Arial"/>
                <w:noProof/>
                <w:kern w:val="2"/>
                <w:lang w:eastAsia="es-CO"/>
                <w14:ligatures w14:val="standardContextual"/>
              </w:rPr>
              <w:tab/>
            </w:r>
            <w:r w:rsidRPr="008A6A0F">
              <w:rPr>
                <w:rStyle w:val="Hipervnculo"/>
                <w:rFonts w:ascii="Arial" w:hAnsi="Arial" w:cs="Arial"/>
                <w:noProof/>
              </w:rPr>
              <w:t>BIBLIOGRAFÍA</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_Toc233574860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108</w:t>
            </w:r>
            <w:r w:rsidRPr="008A6A0F">
              <w:rPr>
                <w:rFonts w:ascii="Arial" w:hAnsi="Arial" w:cs="Arial"/>
                <w:noProof/>
                <w:webHidden/>
              </w:rPr>
              <w:fldChar w:fldCharType="end"/>
            </w:r>
          </w:hyperlink>
        </w:p>
        <w:p w14:paraId="683ADEC6" w14:textId="17C62A40" w:rsidR="00AD276C" w:rsidRPr="00947D99" w:rsidRDefault="00AD276C" w:rsidP="005B2285">
          <w:pPr>
            <w:spacing w:line="360" w:lineRule="auto"/>
            <w:jc w:val="both"/>
            <w:rPr>
              <w:rFonts w:ascii="Arial" w:hAnsi="Arial" w:cs="Arial"/>
            </w:rPr>
          </w:pPr>
          <w:r w:rsidRPr="008A6A0F">
            <w:rPr>
              <w:rFonts w:ascii="Arial" w:hAnsi="Arial" w:cs="Arial"/>
              <w:lang w:val="es-ES"/>
            </w:rPr>
            <w:fldChar w:fldCharType="end"/>
          </w:r>
        </w:p>
      </w:sdtContent>
    </w:sdt>
    <w:p w14:paraId="1A71E425" w14:textId="77777777" w:rsidR="00841523" w:rsidRPr="00947D99" w:rsidRDefault="00841523" w:rsidP="005B2285">
      <w:pPr>
        <w:spacing w:line="360" w:lineRule="auto"/>
        <w:jc w:val="center"/>
        <w:rPr>
          <w:rFonts w:ascii="Arial" w:hAnsi="Arial" w:cs="Arial"/>
          <w:color w:val="000000" w:themeColor="text1"/>
        </w:rPr>
      </w:pPr>
    </w:p>
    <w:p w14:paraId="1BE19C10" w14:textId="2725D7D9" w:rsidR="00841523" w:rsidRPr="008A6A0F" w:rsidRDefault="0039645E" w:rsidP="005B2285">
      <w:pPr>
        <w:pStyle w:val="Ttulo1"/>
        <w:spacing w:before="0" w:line="360" w:lineRule="auto"/>
        <w:jc w:val="center"/>
        <w:rPr>
          <w:rFonts w:ascii="Arial" w:eastAsia="Arial" w:hAnsi="Arial" w:cs="Arial"/>
          <w:b/>
          <w:bCs/>
          <w:color w:val="000000"/>
          <w:sz w:val="24"/>
          <w:szCs w:val="24"/>
        </w:rPr>
      </w:pPr>
      <w:bookmarkStart w:id="1" w:name="_Toc233574818"/>
      <w:r w:rsidRPr="00163C65">
        <w:rPr>
          <w:rFonts w:ascii="Arial" w:eastAsia="Arial" w:hAnsi="Arial" w:cs="Arial"/>
          <w:b/>
          <w:bCs/>
          <w:color w:val="000000"/>
          <w:sz w:val="24"/>
          <w:szCs w:val="24"/>
        </w:rPr>
        <w:t>LISTA DE TABLAS</w:t>
      </w:r>
      <w:bookmarkEnd w:id="1"/>
    </w:p>
    <w:p w14:paraId="4FDD78AD" w14:textId="77777777" w:rsidR="0032174D" w:rsidRPr="008A6A0F" w:rsidRDefault="0032174D" w:rsidP="005B2285">
      <w:pPr>
        <w:spacing w:line="360" w:lineRule="auto"/>
        <w:jc w:val="both"/>
        <w:rPr>
          <w:rFonts w:ascii="Arial" w:hAnsi="Arial" w:cs="Arial"/>
          <w:b/>
          <w:bCs/>
          <w:color w:val="000000" w:themeColor="text1"/>
        </w:rPr>
      </w:pPr>
    </w:p>
    <w:p w14:paraId="7B05CD98" w14:textId="14FB6EAF" w:rsidR="008A6A0F" w:rsidRPr="008A6A0F" w:rsidRDefault="0039645E"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r w:rsidRPr="008A6A0F">
        <w:rPr>
          <w:rFonts w:ascii="Arial" w:hAnsi="Arial" w:cs="Arial"/>
          <w:b/>
          <w:bCs/>
          <w:color w:val="000000" w:themeColor="text1"/>
        </w:rPr>
        <w:fldChar w:fldCharType="begin"/>
      </w:r>
      <w:r w:rsidRPr="008A6A0F">
        <w:rPr>
          <w:rFonts w:ascii="Arial" w:hAnsi="Arial" w:cs="Arial"/>
          <w:b/>
          <w:bCs/>
          <w:color w:val="000000" w:themeColor="text1"/>
        </w:rPr>
        <w:instrText xml:space="preserve"> TOC \h \z \c "Tabla" </w:instrText>
      </w:r>
      <w:r w:rsidRPr="008A6A0F">
        <w:rPr>
          <w:rFonts w:ascii="Arial" w:hAnsi="Arial" w:cs="Arial"/>
          <w:b/>
          <w:bCs/>
          <w:color w:val="000000" w:themeColor="text1"/>
        </w:rPr>
        <w:fldChar w:fldCharType="separate"/>
      </w:r>
      <w:hyperlink w:anchor="_Toc233574861" w:history="1">
        <w:r w:rsidR="008A6A0F" w:rsidRPr="008A6A0F">
          <w:rPr>
            <w:rStyle w:val="Hipervnculo"/>
            <w:rFonts w:ascii="Arial" w:hAnsi="Arial" w:cs="Arial"/>
            <w:noProof/>
          </w:rPr>
          <w:t>Tabla 1. Estado del aseguramiento población de Bogotá, 2025</w:t>
        </w:r>
        <w:r w:rsidR="008A6A0F" w:rsidRPr="008A6A0F">
          <w:rPr>
            <w:rFonts w:ascii="Arial" w:hAnsi="Arial" w:cs="Arial"/>
            <w:noProof/>
            <w:webHidden/>
          </w:rPr>
          <w:tab/>
        </w:r>
        <w:r w:rsidR="008A6A0F" w:rsidRPr="008A6A0F">
          <w:rPr>
            <w:rFonts w:ascii="Arial" w:hAnsi="Arial" w:cs="Arial"/>
            <w:noProof/>
            <w:webHidden/>
          </w:rPr>
          <w:fldChar w:fldCharType="begin"/>
        </w:r>
        <w:r w:rsidR="008A6A0F" w:rsidRPr="008A6A0F">
          <w:rPr>
            <w:rFonts w:ascii="Arial" w:hAnsi="Arial" w:cs="Arial"/>
            <w:noProof/>
            <w:webHidden/>
          </w:rPr>
          <w:instrText xml:space="preserve"> PAGEREF _Toc233574861 \h </w:instrText>
        </w:r>
        <w:r w:rsidR="008A6A0F" w:rsidRPr="008A6A0F">
          <w:rPr>
            <w:rFonts w:ascii="Arial" w:hAnsi="Arial" w:cs="Arial"/>
            <w:noProof/>
            <w:webHidden/>
          </w:rPr>
        </w:r>
        <w:r w:rsidR="008A6A0F" w:rsidRPr="008A6A0F">
          <w:rPr>
            <w:rFonts w:ascii="Arial" w:hAnsi="Arial" w:cs="Arial"/>
            <w:noProof/>
            <w:webHidden/>
          </w:rPr>
          <w:fldChar w:fldCharType="separate"/>
        </w:r>
        <w:r w:rsidR="008A6A0F" w:rsidRPr="008A6A0F">
          <w:rPr>
            <w:rFonts w:ascii="Arial" w:hAnsi="Arial" w:cs="Arial"/>
            <w:noProof/>
            <w:webHidden/>
          </w:rPr>
          <w:t>9</w:t>
        </w:r>
        <w:r w:rsidR="008A6A0F" w:rsidRPr="008A6A0F">
          <w:rPr>
            <w:rFonts w:ascii="Arial" w:hAnsi="Arial" w:cs="Arial"/>
            <w:noProof/>
            <w:webHidden/>
          </w:rPr>
          <w:fldChar w:fldCharType="end"/>
        </w:r>
      </w:hyperlink>
    </w:p>
    <w:p w14:paraId="28AD3841" w14:textId="570AE2DB"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62" w:history="1">
        <w:r w:rsidRPr="008A6A0F">
          <w:rPr>
            <w:rStyle w:val="Hipervnculo"/>
            <w:rFonts w:ascii="Arial" w:hAnsi="Arial" w:cs="Arial"/>
            <w:noProof/>
          </w:rPr>
          <w:t>Tabla 2. Distribución de afiliados de Capital Salud EPS-S en Bogotá por régimen,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_Toc233574862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10</w:t>
        </w:r>
        <w:r w:rsidRPr="008A6A0F">
          <w:rPr>
            <w:rFonts w:ascii="Arial" w:hAnsi="Arial" w:cs="Arial"/>
            <w:noProof/>
            <w:webHidden/>
          </w:rPr>
          <w:fldChar w:fldCharType="end"/>
        </w:r>
      </w:hyperlink>
    </w:p>
    <w:p w14:paraId="1853EF28" w14:textId="5FD35589"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63" w:history="1">
        <w:r w:rsidRPr="008A6A0F">
          <w:rPr>
            <w:rStyle w:val="Hipervnculo"/>
            <w:rFonts w:ascii="Arial" w:hAnsi="Arial" w:cs="Arial"/>
            <w:noProof/>
          </w:rPr>
          <w:t>Tabla 3.  Afiliados en Bogotá por EPS,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_Toc233574863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10</w:t>
        </w:r>
        <w:r w:rsidRPr="008A6A0F">
          <w:rPr>
            <w:rFonts w:ascii="Arial" w:hAnsi="Arial" w:cs="Arial"/>
            <w:noProof/>
            <w:webHidden/>
          </w:rPr>
          <w:fldChar w:fldCharType="end"/>
        </w:r>
      </w:hyperlink>
    </w:p>
    <w:p w14:paraId="670A8754" w14:textId="72840421"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64" w:history="1">
        <w:r w:rsidRPr="008A6A0F">
          <w:rPr>
            <w:rStyle w:val="Hipervnculo"/>
            <w:rFonts w:ascii="Arial" w:hAnsi="Arial" w:cs="Arial"/>
            <w:noProof/>
          </w:rPr>
          <w:t>Tabla 4. Total de población afiliada a Capital Salud EPS-S 2021-2025, Bogotá D.C.</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_Toc233574864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11</w:t>
        </w:r>
        <w:r w:rsidRPr="008A6A0F">
          <w:rPr>
            <w:rFonts w:ascii="Arial" w:hAnsi="Arial" w:cs="Arial"/>
            <w:noProof/>
            <w:webHidden/>
          </w:rPr>
          <w:fldChar w:fldCharType="end"/>
        </w:r>
      </w:hyperlink>
    </w:p>
    <w:p w14:paraId="19F68B64" w14:textId="18272301"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65" w:history="1">
        <w:r w:rsidRPr="008A6A0F">
          <w:rPr>
            <w:rStyle w:val="Hipervnculo"/>
            <w:rFonts w:ascii="Arial" w:hAnsi="Arial" w:cs="Arial"/>
            <w:noProof/>
          </w:rPr>
          <w:t>Tabla 5. Afiliados C</w:t>
        </w:r>
        <w:r w:rsidRPr="008A6A0F">
          <w:rPr>
            <w:rStyle w:val="Hipervnculo"/>
            <w:rFonts w:ascii="Arial" w:hAnsi="Arial" w:cs="Arial"/>
            <w:noProof/>
          </w:rPr>
          <w:t>a</w:t>
        </w:r>
        <w:r w:rsidRPr="008A6A0F">
          <w:rPr>
            <w:rStyle w:val="Hipervnculo"/>
            <w:rFonts w:ascii="Arial" w:hAnsi="Arial" w:cs="Arial"/>
            <w:noProof/>
          </w:rPr>
          <w:t>pital Salud EPS-S en Soacha por régimen 2021-2025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_Toc233574865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15</w:t>
        </w:r>
        <w:r w:rsidRPr="008A6A0F">
          <w:rPr>
            <w:rFonts w:ascii="Arial" w:hAnsi="Arial" w:cs="Arial"/>
            <w:noProof/>
            <w:webHidden/>
          </w:rPr>
          <w:fldChar w:fldCharType="end"/>
        </w:r>
      </w:hyperlink>
    </w:p>
    <w:p w14:paraId="224E480F" w14:textId="6045A38F"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66" w:history="1">
        <w:r w:rsidRPr="008A6A0F">
          <w:rPr>
            <w:rStyle w:val="Hipervnculo"/>
            <w:rFonts w:ascii="Arial" w:hAnsi="Arial" w:cs="Arial"/>
            <w:noProof/>
          </w:rPr>
          <w:t>Tabla 6. Afiliados por entidad territorial y participación de Capital Salud EPS-S, diciembre de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_Toc233574866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16</w:t>
        </w:r>
        <w:r w:rsidRPr="008A6A0F">
          <w:rPr>
            <w:rFonts w:ascii="Arial" w:hAnsi="Arial" w:cs="Arial"/>
            <w:noProof/>
            <w:webHidden/>
          </w:rPr>
          <w:fldChar w:fldCharType="end"/>
        </w:r>
      </w:hyperlink>
    </w:p>
    <w:p w14:paraId="302F1AED" w14:textId="468F4CD2"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67" w:history="1">
        <w:r w:rsidRPr="008A6A0F">
          <w:rPr>
            <w:rStyle w:val="Hipervnculo"/>
            <w:rFonts w:ascii="Arial" w:hAnsi="Arial" w:cs="Arial"/>
            <w:noProof/>
          </w:rPr>
          <w:t>Tabla 7. Afiliados a Capital Salud EPS-S en Bogotá por cruce Sisbén, diciembre de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_Toc233574867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18</w:t>
        </w:r>
        <w:r w:rsidRPr="008A6A0F">
          <w:rPr>
            <w:rFonts w:ascii="Arial" w:hAnsi="Arial" w:cs="Arial"/>
            <w:noProof/>
            <w:webHidden/>
          </w:rPr>
          <w:fldChar w:fldCharType="end"/>
        </w:r>
      </w:hyperlink>
    </w:p>
    <w:p w14:paraId="1A28C7C6" w14:textId="421BFB62"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68" w:history="1">
        <w:r w:rsidRPr="008A6A0F">
          <w:rPr>
            <w:rStyle w:val="Hipervnculo"/>
            <w:rFonts w:ascii="Arial" w:hAnsi="Arial" w:cs="Arial"/>
            <w:noProof/>
          </w:rPr>
          <w:t>Tabla 8. Porcentaje de incumplimiento en la respuesta por tipo de PQRS,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_Toc233574868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24</w:t>
        </w:r>
        <w:r w:rsidRPr="008A6A0F">
          <w:rPr>
            <w:rFonts w:ascii="Arial" w:hAnsi="Arial" w:cs="Arial"/>
            <w:noProof/>
            <w:webHidden/>
          </w:rPr>
          <w:fldChar w:fldCharType="end"/>
        </w:r>
      </w:hyperlink>
    </w:p>
    <w:p w14:paraId="2984A9F5" w14:textId="0A1B61EF"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69" w:history="1">
        <w:r w:rsidRPr="008A6A0F">
          <w:rPr>
            <w:rStyle w:val="Hipervnculo"/>
            <w:rFonts w:ascii="Arial" w:hAnsi="Arial" w:cs="Arial"/>
            <w:noProof/>
          </w:rPr>
          <w:t>Tabla 9. Principales motivos de manifestaciones, Capital Salud EPS-S,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_Toc233574869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28</w:t>
        </w:r>
        <w:r w:rsidRPr="008A6A0F">
          <w:rPr>
            <w:rFonts w:ascii="Arial" w:hAnsi="Arial" w:cs="Arial"/>
            <w:noProof/>
            <w:webHidden/>
          </w:rPr>
          <w:fldChar w:fldCharType="end"/>
        </w:r>
      </w:hyperlink>
    </w:p>
    <w:p w14:paraId="6178EA3A" w14:textId="2E655B02"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70" w:history="1">
        <w:r w:rsidRPr="008A6A0F">
          <w:rPr>
            <w:rStyle w:val="Hipervnculo"/>
            <w:rFonts w:ascii="Arial" w:hAnsi="Arial" w:cs="Arial"/>
            <w:noProof/>
          </w:rPr>
          <w:t>Tabla 10. Total, de PQRS año 2025 Capital Salud EPS-S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_Toc233574870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31</w:t>
        </w:r>
        <w:r w:rsidRPr="008A6A0F">
          <w:rPr>
            <w:rFonts w:ascii="Arial" w:hAnsi="Arial" w:cs="Arial"/>
            <w:noProof/>
            <w:webHidden/>
          </w:rPr>
          <w:fldChar w:fldCharType="end"/>
        </w:r>
      </w:hyperlink>
    </w:p>
    <w:p w14:paraId="76BEA52F" w14:textId="5095B209"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71" w:history="1">
        <w:r w:rsidRPr="008A6A0F">
          <w:rPr>
            <w:rStyle w:val="Hipervnculo"/>
            <w:rFonts w:ascii="Arial" w:hAnsi="Arial" w:cs="Arial"/>
            <w:noProof/>
          </w:rPr>
          <w:t>Tabla 11. Barreras de acceso Capital Salud EPS-S, año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_Toc233574871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33</w:t>
        </w:r>
        <w:r w:rsidRPr="008A6A0F">
          <w:rPr>
            <w:rFonts w:ascii="Arial" w:hAnsi="Arial" w:cs="Arial"/>
            <w:noProof/>
            <w:webHidden/>
          </w:rPr>
          <w:fldChar w:fldCharType="end"/>
        </w:r>
      </w:hyperlink>
    </w:p>
    <w:p w14:paraId="0AD3EE6B" w14:textId="7BAAF3A5"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72" w:history="1">
        <w:r w:rsidRPr="008A6A0F">
          <w:rPr>
            <w:rStyle w:val="Hipervnculo"/>
            <w:rFonts w:ascii="Arial" w:hAnsi="Arial" w:cs="Arial"/>
            <w:noProof/>
          </w:rPr>
          <w:t>Tabla 12.  Casos y tasas de mortalidad infantil en Capital Salud EPS-S, Bogotá D.C., enero-diciembre de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_Toc233574872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39</w:t>
        </w:r>
        <w:r w:rsidRPr="008A6A0F">
          <w:rPr>
            <w:rFonts w:ascii="Arial" w:hAnsi="Arial" w:cs="Arial"/>
            <w:noProof/>
            <w:webHidden/>
          </w:rPr>
          <w:fldChar w:fldCharType="end"/>
        </w:r>
      </w:hyperlink>
    </w:p>
    <w:p w14:paraId="7F6E3989" w14:textId="416EB97F"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73" w:history="1">
        <w:r w:rsidRPr="008A6A0F">
          <w:rPr>
            <w:rStyle w:val="Hipervnculo"/>
            <w:rFonts w:ascii="Arial" w:hAnsi="Arial" w:cs="Arial"/>
            <w:noProof/>
          </w:rPr>
          <w:t>Tabla 13.  Proporción de causas básicas de mortalidad infantil en Capital Salud EPS-S, Bogotá D.C., enero-diciembre de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_Toc233574873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42</w:t>
        </w:r>
        <w:r w:rsidRPr="008A6A0F">
          <w:rPr>
            <w:rFonts w:ascii="Arial" w:hAnsi="Arial" w:cs="Arial"/>
            <w:noProof/>
            <w:webHidden/>
          </w:rPr>
          <w:fldChar w:fldCharType="end"/>
        </w:r>
      </w:hyperlink>
    </w:p>
    <w:p w14:paraId="42A24597" w14:textId="36C36802"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74" w:history="1">
        <w:r w:rsidRPr="008A6A0F">
          <w:rPr>
            <w:rStyle w:val="Hipervnculo"/>
            <w:rFonts w:ascii="Arial" w:hAnsi="Arial" w:cs="Arial"/>
            <w:noProof/>
          </w:rPr>
          <w:t>Tabla 14. Coberturas de vacunación infantil trazadora, Capital Salud EPS-S, Bogotá D.C.,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_Toc233574874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44</w:t>
        </w:r>
        <w:r w:rsidRPr="008A6A0F">
          <w:rPr>
            <w:rFonts w:ascii="Arial" w:hAnsi="Arial" w:cs="Arial"/>
            <w:noProof/>
            <w:webHidden/>
          </w:rPr>
          <w:fldChar w:fldCharType="end"/>
        </w:r>
      </w:hyperlink>
    </w:p>
    <w:p w14:paraId="66547F67" w14:textId="127D06E3"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75" w:history="1">
        <w:r w:rsidRPr="008A6A0F">
          <w:rPr>
            <w:rStyle w:val="Hipervnculo"/>
            <w:rFonts w:ascii="Arial" w:hAnsi="Arial" w:cs="Arial"/>
            <w:noProof/>
          </w:rPr>
          <w:t>Tabla 15. Distribución porcentual de casos con inoportunidad en procesos de referencia por asegurador e IPS objeto de seguimiento</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_Toc233574875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53</w:t>
        </w:r>
        <w:r w:rsidRPr="008A6A0F">
          <w:rPr>
            <w:rFonts w:ascii="Arial" w:hAnsi="Arial" w:cs="Arial"/>
            <w:noProof/>
            <w:webHidden/>
          </w:rPr>
          <w:fldChar w:fldCharType="end"/>
        </w:r>
      </w:hyperlink>
    </w:p>
    <w:p w14:paraId="52A8928B" w14:textId="0C3B1A2F"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76" w:history="1">
        <w:r w:rsidRPr="008A6A0F">
          <w:rPr>
            <w:rStyle w:val="Hipervnculo"/>
            <w:rFonts w:ascii="Arial" w:hAnsi="Arial" w:cs="Arial"/>
            <w:noProof/>
          </w:rPr>
          <w:t>Tabla 16. Distribución porcentual de casos con inoportunidad en trámites de referencia en red contratada por Capital Salud EPS-S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_Toc233574876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53</w:t>
        </w:r>
        <w:r w:rsidRPr="008A6A0F">
          <w:rPr>
            <w:rFonts w:ascii="Arial" w:hAnsi="Arial" w:cs="Arial"/>
            <w:noProof/>
            <w:webHidden/>
          </w:rPr>
          <w:fldChar w:fldCharType="end"/>
        </w:r>
      </w:hyperlink>
    </w:p>
    <w:p w14:paraId="280ACF91" w14:textId="621F4DEB"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77" w:history="1">
        <w:r w:rsidRPr="008A6A0F">
          <w:rPr>
            <w:rStyle w:val="Hipervnculo"/>
            <w:rFonts w:ascii="Arial" w:hAnsi="Arial" w:cs="Arial"/>
            <w:noProof/>
          </w:rPr>
          <w:t>Tabla 17. Distribución porcentual de casos con inoportunidad en trámites de referencia en red no contratada por Capital Salud EPS-S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_Toc233574877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55</w:t>
        </w:r>
        <w:r w:rsidRPr="008A6A0F">
          <w:rPr>
            <w:rFonts w:ascii="Arial" w:hAnsi="Arial" w:cs="Arial"/>
            <w:noProof/>
            <w:webHidden/>
          </w:rPr>
          <w:fldChar w:fldCharType="end"/>
        </w:r>
      </w:hyperlink>
    </w:p>
    <w:p w14:paraId="41C9A4D3" w14:textId="794A5D2A"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78" w:history="1">
        <w:r w:rsidRPr="008A6A0F">
          <w:rPr>
            <w:rStyle w:val="Hipervnculo"/>
            <w:rFonts w:ascii="Arial" w:hAnsi="Arial" w:cs="Arial"/>
            <w:noProof/>
          </w:rPr>
          <w:t>Tabla 18. Puntos de dispensación por localidad y población asignada, Capital Salud EPS-S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_Toc233574878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60</w:t>
        </w:r>
        <w:r w:rsidRPr="008A6A0F">
          <w:rPr>
            <w:rFonts w:ascii="Arial" w:hAnsi="Arial" w:cs="Arial"/>
            <w:noProof/>
            <w:webHidden/>
          </w:rPr>
          <w:fldChar w:fldCharType="end"/>
        </w:r>
      </w:hyperlink>
    </w:p>
    <w:p w14:paraId="6FC50080" w14:textId="78687938"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79" w:history="1">
        <w:r w:rsidRPr="008A6A0F">
          <w:rPr>
            <w:rStyle w:val="Hipervnculo"/>
            <w:rFonts w:ascii="Arial" w:hAnsi="Arial" w:cs="Arial"/>
            <w:noProof/>
          </w:rPr>
          <w:t>Tabla 19. Medicamentos solicitados por cohorte priorizada, serie mensual enero-octubre de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_Toc233574879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67</w:t>
        </w:r>
        <w:r w:rsidRPr="008A6A0F">
          <w:rPr>
            <w:rFonts w:ascii="Arial" w:hAnsi="Arial" w:cs="Arial"/>
            <w:noProof/>
            <w:webHidden/>
          </w:rPr>
          <w:fldChar w:fldCharType="end"/>
        </w:r>
      </w:hyperlink>
    </w:p>
    <w:p w14:paraId="73B12422" w14:textId="2BEF7721"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80" w:history="1">
        <w:r w:rsidRPr="008A6A0F">
          <w:rPr>
            <w:rStyle w:val="Hipervnculo"/>
            <w:rFonts w:ascii="Arial" w:hAnsi="Arial" w:cs="Arial"/>
            <w:noProof/>
          </w:rPr>
          <w:t>Tabla 20. Medicamentos pendientes por cohorte priorizada, serie mensual enero-octubre de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_Toc233574880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68</w:t>
        </w:r>
        <w:r w:rsidRPr="008A6A0F">
          <w:rPr>
            <w:rFonts w:ascii="Arial" w:hAnsi="Arial" w:cs="Arial"/>
            <w:noProof/>
            <w:webHidden/>
          </w:rPr>
          <w:fldChar w:fldCharType="end"/>
        </w:r>
      </w:hyperlink>
    </w:p>
    <w:p w14:paraId="6DC43372" w14:textId="3A32FDA3"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81" w:history="1">
        <w:r w:rsidRPr="008A6A0F">
          <w:rPr>
            <w:rStyle w:val="Hipervnculo"/>
            <w:rFonts w:ascii="Arial" w:hAnsi="Arial" w:cs="Arial"/>
            <w:noProof/>
          </w:rPr>
          <w:t>Tabla 21. Medicamentos pendientes sin entrega efectiva por cohorte priorizada, serie mensual enero-octubre de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_Toc233574881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70</w:t>
        </w:r>
        <w:r w:rsidRPr="008A6A0F">
          <w:rPr>
            <w:rFonts w:ascii="Arial" w:hAnsi="Arial" w:cs="Arial"/>
            <w:noProof/>
            <w:webHidden/>
          </w:rPr>
          <w:fldChar w:fldCharType="end"/>
        </w:r>
      </w:hyperlink>
    </w:p>
    <w:p w14:paraId="1AF68970" w14:textId="0C541A62"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82" w:history="1">
        <w:r w:rsidRPr="008A6A0F">
          <w:rPr>
            <w:rStyle w:val="Hipervnculo"/>
            <w:rFonts w:ascii="Arial" w:hAnsi="Arial" w:cs="Arial"/>
            <w:noProof/>
          </w:rPr>
          <w:t>Tabla 22. Porcentaje de medicamentos pendientes sin entrega efectiva por cohorte priorizada, enero-octubre de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_Toc233574882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72</w:t>
        </w:r>
        <w:r w:rsidRPr="008A6A0F">
          <w:rPr>
            <w:rFonts w:ascii="Arial" w:hAnsi="Arial" w:cs="Arial"/>
            <w:noProof/>
            <w:webHidden/>
          </w:rPr>
          <w:fldChar w:fldCharType="end"/>
        </w:r>
      </w:hyperlink>
    </w:p>
    <w:p w14:paraId="7F034C40" w14:textId="44EBB71E"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83" w:history="1">
        <w:r w:rsidRPr="008A6A0F">
          <w:rPr>
            <w:rStyle w:val="Hipervnculo"/>
            <w:rFonts w:ascii="Arial" w:hAnsi="Arial" w:cs="Arial"/>
            <w:noProof/>
          </w:rPr>
          <w:t>Tabla 23. Resumen de medicamentos pendientes sin entrega en cohortes priorizadas, Capital Salud EPS-S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_Toc233574883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74</w:t>
        </w:r>
        <w:r w:rsidRPr="008A6A0F">
          <w:rPr>
            <w:rFonts w:ascii="Arial" w:hAnsi="Arial" w:cs="Arial"/>
            <w:noProof/>
            <w:webHidden/>
          </w:rPr>
          <w:fldChar w:fldCharType="end"/>
        </w:r>
      </w:hyperlink>
    </w:p>
    <w:p w14:paraId="3C9126CA" w14:textId="7A1327E0"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84" w:history="1">
        <w:r w:rsidRPr="008A6A0F">
          <w:rPr>
            <w:rStyle w:val="Hipervnculo"/>
            <w:rFonts w:ascii="Arial" w:hAnsi="Arial" w:cs="Arial"/>
            <w:noProof/>
          </w:rPr>
          <w:t>Tabla 24. Comportamiento de indicadores de dispensación de medicamentos, Bogotá, 2025</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_Toc233574884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75</w:t>
        </w:r>
        <w:r w:rsidRPr="008A6A0F">
          <w:rPr>
            <w:rFonts w:ascii="Arial" w:hAnsi="Arial" w:cs="Arial"/>
            <w:noProof/>
            <w:webHidden/>
          </w:rPr>
          <w:fldChar w:fldCharType="end"/>
        </w:r>
      </w:hyperlink>
    </w:p>
    <w:p w14:paraId="2789F0D2" w14:textId="0E25C0F3"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85" w:history="1">
        <w:r w:rsidRPr="008A6A0F">
          <w:rPr>
            <w:rStyle w:val="Hipervnculo"/>
            <w:rFonts w:ascii="Arial" w:hAnsi="Arial" w:cs="Arial"/>
            <w:noProof/>
          </w:rPr>
          <w:t>Tabla 25. Estado de Situación Financiera (Cifras en millones)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_Toc233574885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78</w:t>
        </w:r>
        <w:r w:rsidRPr="008A6A0F">
          <w:rPr>
            <w:rFonts w:ascii="Arial" w:hAnsi="Arial" w:cs="Arial"/>
            <w:noProof/>
            <w:webHidden/>
          </w:rPr>
          <w:fldChar w:fldCharType="end"/>
        </w:r>
      </w:hyperlink>
    </w:p>
    <w:p w14:paraId="71E86F2B" w14:textId="62B5E52B" w:rsidR="008A6A0F" w:rsidRPr="008A6A0F" w:rsidRDefault="008A6A0F"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74886" w:history="1">
        <w:r w:rsidRPr="008A6A0F">
          <w:rPr>
            <w:rStyle w:val="Hipervnculo"/>
            <w:rFonts w:ascii="Arial" w:hAnsi="Arial" w:cs="Arial"/>
            <w:noProof/>
          </w:rPr>
          <w:t>Tabla 26. Patrimonio Capital Salud EPS-S, enero-diciembre de 2025, cifras en millones de pesos colombianos</w:t>
        </w:r>
        <w:r w:rsidRPr="008A6A0F">
          <w:rPr>
            <w:rFonts w:ascii="Arial" w:hAnsi="Arial" w:cs="Arial"/>
            <w:noProof/>
            <w:webHidden/>
          </w:rPr>
          <w:tab/>
        </w:r>
        <w:r w:rsidRPr="008A6A0F">
          <w:rPr>
            <w:rFonts w:ascii="Arial" w:hAnsi="Arial" w:cs="Arial"/>
            <w:noProof/>
            <w:webHidden/>
          </w:rPr>
          <w:fldChar w:fldCharType="begin"/>
        </w:r>
        <w:r w:rsidRPr="008A6A0F">
          <w:rPr>
            <w:rFonts w:ascii="Arial" w:hAnsi="Arial" w:cs="Arial"/>
            <w:noProof/>
            <w:webHidden/>
          </w:rPr>
          <w:instrText xml:space="preserve"> PAGEREF _Toc233574886 \h </w:instrText>
        </w:r>
        <w:r w:rsidRPr="008A6A0F">
          <w:rPr>
            <w:rFonts w:ascii="Arial" w:hAnsi="Arial" w:cs="Arial"/>
            <w:noProof/>
            <w:webHidden/>
          </w:rPr>
        </w:r>
        <w:r w:rsidRPr="008A6A0F">
          <w:rPr>
            <w:rFonts w:ascii="Arial" w:hAnsi="Arial" w:cs="Arial"/>
            <w:noProof/>
            <w:webHidden/>
          </w:rPr>
          <w:fldChar w:fldCharType="separate"/>
        </w:r>
        <w:r w:rsidRPr="008A6A0F">
          <w:rPr>
            <w:rFonts w:ascii="Arial" w:hAnsi="Arial" w:cs="Arial"/>
            <w:noProof/>
            <w:webHidden/>
          </w:rPr>
          <w:t>84</w:t>
        </w:r>
        <w:r w:rsidRPr="008A6A0F">
          <w:rPr>
            <w:rFonts w:ascii="Arial" w:hAnsi="Arial" w:cs="Arial"/>
            <w:noProof/>
            <w:webHidden/>
          </w:rPr>
          <w:fldChar w:fldCharType="end"/>
        </w:r>
      </w:hyperlink>
    </w:p>
    <w:p w14:paraId="47EB4742" w14:textId="7CFDBE60" w:rsidR="00841523" w:rsidRPr="00953603" w:rsidRDefault="0039645E" w:rsidP="005B2285">
      <w:pPr>
        <w:spacing w:line="360" w:lineRule="auto"/>
        <w:jc w:val="both"/>
        <w:rPr>
          <w:rFonts w:ascii="Arial" w:hAnsi="Arial" w:cs="Arial"/>
          <w:b/>
          <w:bCs/>
          <w:color w:val="000000" w:themeColor="text1"/>
        </w:rPr>
      </w:pPr>
      <w:r w:rsidRPr="008A6A0F">
        <w:rPr>
          <w:rFonts w:ascii="Arial" w:hAnsi="Arial" w:cs="Arial"/>
          <w:b/>
          <w:bCs/>
          <w:color w:val="000000" w:themeColor="text1"/>
        </w:rPr>
        <w:fldChar w:fldCharType="end"/>
      </w:r>
    </w:p>
    <w:p w14:paraId="76E305B4" w14:textId="63179A71" w:rsidR="0032174D" w:rsidRPr="00163C65" w:rsidRDefault="0032174D" w:rsidP="005B2285">
      <w:pPr>
        <w:pStyle w:val="Ttulo1"/>
        <w:spacing w:before="0" w:line="360" w:lineRule="auto"/>
        <w:jc w:val="center"/>
        <w:rPr>
          <w:rFonts w:ascii="Arial" w:eastAsia="Arial" w:hAnsi="Arial" w:cs="Arial"/>
          <w:b/>
          <w:bCs/>
          <w:color w:val="000000"/>
          <w:sz w:val="24"/>
          <w:szCs w:val="24"/>
        </w:rPr>
      </w:pPr>
      <w:bookmarkStart w:id="2" w:name="_Toc233574819"/>
      <w:r w:rsidRPr="00163C65">
        <w:rPr>
          <w:rFonts w:ascii="Arial" w:eastAsia="Arial" w:hAnsi="Arial" w:cs="Arial"/>
          <w:b/>
          <w:bCs/>
          <w:color w:val="000000"/>
          <w:sz w:val="24"/>
          <w:szCs w:val="24"/>
        </w:rPr>
        <w:t>LISTA DE GRÁFICAS</w:t>
      </w:r>
      <w:bookmarkEnd w:id="2"/>
    </w:p>
    <w:p w14:paraId="49E018FD" w14:textId="77777777" w:rsidR="00953603" w:rsidRPr="00953603" w:rsidRDefault="00953603" w:rsidP="005B2285">
      <w:pPr>
        <w:spacing w:line="360" w:lineRule="auto"/>
        <w:jc w:val="both"/>
        <w:rPr>
          <w:rFonts w:ascii="Arial" w:hAnsi="Arial" w:cs="Arial"/>
          <w:b/>
          <w:bCs/>
          <w:color w:val="000000" w:themeColor="text1"/>
        </w:rPr>
      </w:pPr>
    </w:p>
    <w:p w14:paraId="147CB11A" w14:textId="2E4053DA" w:rsidR="00380606" w:rsidRPr="00380606" w:rsidRDefault="0039645E"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r w:rsidRPr="00380606">
        <w:rPr>
          <w:rFonts w:ascii="Arial" w:hAnsi="Arial" w:cs="Arial"/>
          <w:b/>
          <w:bCs/>
          <w:color w:val="000000" w:themeColor="text1"/>
        </w:rPr>
        <w:fldChar w:fldCharType="begin"/>
      </w:r>
      <w:r w:rsidRPr="00380606">
        <w:rPr>
          <w:rFonts w:ascii="Arial" w:hAnsi="Arial" w:cs="Arial"/>
          <w:b/>
          <w:bCs/>
          <w:color w:val="000000" w:themeColor="text1"/>
        </w:rPr>
        <w:instrText xml:space="preserve"> TOC \h \z \c "Gráfica" </w:instrText>
      </w:r>
      <w:r w:rsidRPr="00380606">
        <w:rPr>
          <w:rFonts w:ascii="Arial" w:hAnsi="Arial" w:cs="Arial"/>
          <w:b/>
          <w:bCs/>
          <w:color w:val="000000" w:themeColor="text1"/>
        </w:rPr>
        <w:fldChar w:fldCharType="separate"/>
      </w:r>
      <w:hyperlink w:anchor="_Toc233568857" w:history="1">
        <w:r w:rsidR="00380606" w:rsidRPr="00380606">
          <w:rPr>
            <w:rStyle w:val="Hipervnculo"/>
            <w:rFonts w:ascii="Arial" w:hAnsi="Arial" w:cs="Arial"/>
            <w:noProof/>
          </w:rPr>
          <w:t>Gráfica 1. Tendencia de afiliados Capital Salud EPS-S por régimen 2021-2025, Bogotá D.C.</w:t>
        </w:r>
        <w:r w:rsidR="00380606" w:rsidRPr="00380606">
          <w:rPr>
            <w:rFonts w:ascii="Arial" w:hAnsi="Arial" w:cs="Arial"/>
            <w:noProof/>
            <w:webHidden/>
          </w:rPr>
          <w:tab/>
        </w:r>
        <w:r w:rsidR="00380606" w:rsidRPr="00380606">
          <w:rPr>
            <w:rFonts w:ascii="Arial" w:hAnsi="Arial" w:cs="Arial"/>
            <w:noProof/>
            <w:webHidden/>
          </w:rPr>
          <w:fldChar w:fldCharType="begin"/>
        </w:r>
        <w:r w:rsidR="00380606" w:rsidRPr="00380606">
          <w:rPr>
            <w:rFonts w:ascii="Arial" w:hAnsi="Arial" w:cs="Arial"/>
            <w:noProof/>
            <w:webHidden/>
          </w:rPr>
          <w:instrText xml:space="preserve"> PAGEREF _Toc233568857 \h </w:instrText>
        </w:r>
        <w:r w:rsidR="00380606" w:rsidRPr="00380606">
          <w:rPr>
            <w:rFonts w:ascii="Arial" w:hAnsi="Arial" w:cs="Arial"/>
            <w:noProof/>
            <w:webHidden/>
          </w:rPr>
        </w:r>
        <w:r w:rsidR="00380606" w:rsidRPr="00380606">
          <w:rPr>
            <w:rFonts w:ascii="Arial" w:hAnsi="Arial" w:cs="Arial"/>
            <w:noProof/>
            <w:webHidden/>
          </w:rPr>
          <w:fldChar w:fldCharType="separate"/>
        </w:r>
        <w:r w:rsidR="00380606" w:rsidRPr="00380606">
          <w:rPr>
            <w:rFonts w:ascii="Arial" w:hAnsi="Arial" w:cs="Arial"/>
            <w:noProof/>
            <w:webHidden/>
          </w:rPr>
          <w:t>12</w:t>
        </w:r>
        <w:r w:rsidR="00380606" w:rsidRPr="00380606">
          <w:rPr>
            <w:rFonts w:ascii="Arial" w:hAnsi="Arial" w:cs="Arial"/>
            <w:noProof/>
            <w:webHidden/>
          </w:rPr>
          <w:fldChar w:fldCharType="end"/>
        </w:r>
      </w:hyperlink>
    </w:p>
    <w:p w14:paraId="0EA30206" w14:textId="0F1C2EFE" w:rsidR="00380606" w:rsidRPr="00380606" w:rsidRDefault="00380606"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68858" w:history="1">
        <w:r w:rsidRPr="00380606">
          <w:rPr>
            <w:rStyle w:val="Hipervnculo"/>
            <w:rFonts w:ascii="Arial" w:hAnsi="Arial" w:cs="Arial"/>
            <w:noProof/>
          </w:rPr>
          <w:t>Gráfica 2. Afiliados por edad y género Capital Salud EPS – Bogotá D.C.</w:t>
        </w:r>
        <w:r w:rsidRPr="00380606">
          <w:rPr>
            <w:rFonts w:ascii="Arial" w:hAnsi="Arial" w:cs="Arial"/>
            <w:noProof/>
            <w:webHidden/>
          </w:rPr>
          <w:tab/>
        </w:r>
        <w:r w:rsidRPr="00380606">
          <w:rPr>
            <w:rFonts w:ascii="Arial" w:hAnsi="Arial" w:cs="Arial"/>
            <w:noProof/>
            <w:webHidden/>
          </w:rPr>
          <w:fldChar w:fldCharType="begin"/>
        </w:r>
        <w:r w:rsidRPr="00380606">
          <w:rPr>
            <w:rFonts w:ascii="Arial" w:hAnsi="Arial" w:cs="Arial"/>
            <w:noProof/>
            <w:webHidden/>
          </w:rPr>
          <w:instrText xml:space="preserve"> PAGEREF _Toc233568858 \h </w:instrText>
        </w:r>
        <w:r w:rsidRPr="00380606">
          <w:rPr>
            <w:rFonts w:ascii="Arial" w:hAnsi="Arial" w:cs="Arial"/>
            <w:noProof/>
            <w:webHidden/>
          </w:rPr>
        </w:r>
        <w:r w:rsidRPr="00380606">
          <w:rPr>
            <w:rFonts w:ascii="Arial" w:hAnsi="Arial" w:cs="Arial"/>
            <w:noProof/>
            <w:webHidden/>
          </w:rPr>
          <w:fldChar w:fldCharType="separate"/>
        </w:r>
        <w:r w:rsidRPr="00380606">
          <w:rPr>
            <w:rFonts w:ascii="Arial" w:hAnsi="Arial" w:cs="Arial"/>
            <w:noProof/>
            <w:webHidden/>
          </w:rPr>
          <w:t>14</w:t>
        </w:r>
        <w:r w:rsidRPr="00380606">
          <w:rPr>
            <w:rFonts w:ascii="Arial" w:hAnsi="Arial" w:cs="Arial"/>
            <w:noProof/>
            <w:webHidden/>
          </w:rPr>
          <w:fldChar w:fldCharType="end"/>
        </w:r>
      </w:hyperlink>
    </w:p>
    <w:p w14:paraId="1E914FE9" w14:textId="762F9335" w:rsidR="00380606" w:rsidRPr="00380606" w:rsidRDefault="00380606"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68859" w:history="1">
        <w:r w:rsidRPr="00380606">
          <w:rPr>
            <w:rStyle w:val="Hipervnculo"/>
            <w:rFonts w:ascii="Arial" w:hAnsi="Arial" w:cs="Arial"/>
            <w:i/>
            <w:iCs/>
            <w:noProof/>
          </w:rPr>
          <w:t>Gráfica 3. Tasa de reclamos en salud acumulados en 12 meses Capital Salud EPS-S 2020-2025, Bogotá D.C.</w:t>
        </w:r>
        <w:r w:rsidRPr="00380606">
          <w:rPr>
            <w:rFonts w:ascii="Arial" w:hAnsi="Arial" w:cs="Arial"/>
            <w:noProof/>
            <w:webHidden/>
          </w:rPr>
          <w:tab/>
        </w:r>
        <w:r w:rsidRPr="00380606">
          <w:rPr>
            <w:rFonts w:ascii="Arial" w:hAnsi="Arial" w:cs="Arial"/>
            <w:noProof/>
            <w:webHidden/>
          </w:rPr>
          <w:fldChar w:fldCharType="begin"/>
        </w:r>
        <w:r w:rsidRPr="00380606">
          <w:rPr>
            <w:rFonts w:ascii="Arial" w:hAnsi="Arial" w:cs="Arial"/>
            <w:noProof/>
            <w:webHidden/>
          </w:rPr>
          <w:instrText xml:space="preserve"> PAGEREF _Toc233568859 \h </w:instrText>
        </w:r>
        <w:r w:rsidRPr="00380606">
          <w:rPr>
            <w:rFonts w:ascii="Arial" w:hAnsi="Arial" w:cs="Arial"/>
            <w:noProof/>
            <w:webHidden/>
          </w:rPr>
        </w:r>
        <w:r w:rsidRPr="00380606">
          <w:rPr>
            <w:rFonts w:ascii="Arial" w:hAnsi="Arial" w:cs="Arial"/>
            <w:noProof/>
            <w:webHidden/>
          </w:rPr>
          <w:fldChar w:fldCharType="separate"/>
        </w:r>
        <w:r w:rsidRPr="00380606">
          <w:rPr>
            <w:rFonts w:ascii="Arial" w:hAnsi="Arial" w:cs="Arial"/>
            <w:noProof/>
            <w:webHidden/>
          </w:rPr>
          <w:t>21</w:t>
        </w:r>
        <w:r w:rsidRPr="00380606">
          <w:rPr>
            <w:rFonts w:ascii="Arial" w:hAnsi="Arial" w:cs="Arial"/>
            <w:noProof/>
            <w:webHidden/>
          </w:rPr>
          <w:fldChar w:fldCharType="end"/>
        </w:r>
      </w:hyperlink>
    </w:p>
    <w:p w14:paraId="47B36C2B" w14:textId="528EE9BE" w:rsidR="00380606" w:rsidRPr="00380606" w:rsidRDefault="00380606"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68860" w:history="1">
        <w:r w:rsidRPr="00380606">
          <w:rPr>
            <w:rStyle w:val="Hipervnculo"/>
            <w:rFonts w:ascii="Arial" w:hAnsi="Arial" w:cs="Arial"/>
            <w:noProof/>
          </w:rPr>
          <w:t>Gráfica 4. Relación población asegurada por localidad frente a puntos de dispensación, Capital Salud EPS-S</w:t>
        </w:r>
        <w:r w:rsidRPr="00380606">
          <w:rPr>
            <w:rFonts w:ascii="Arial" w:hAnsi="Arial" w:cs="Arial"/>
            <w:noProof/>
            <w:webHidden/>
          </w:rPr>
          <w:tab/>
        </w:r>
        <w:r w:rsidRPr="00380606">
          <w:rPr>
            <w:rFonts w:ascii="Arial" w:hAnsi="Arial" w:cs="Arial"/>
            <w:noProof/>
            <w:webHidden/>
          </w:rPr>
          <w:fldChar w:fldCharType="begin"/>
        </w:r>
        <w:r w:rsidRPr="00380606">
          <w:rPr>
            <w:rFonts w:ascii="Arial" w:hAnsi="Arial" w:cs="Arial"/>
            <w:noProof/>
            <w:webHidden/>
          </w:rPr>
          <w:instrText xml:space="preserve"> PAGEREF _Toc233568860 \h </w:instrText>
        </w:r>
        <w:r w:rsidRPr="00380606">
          <w:rPr>
            <w:rFonts w:ascii="Arial" w:hAnsi="Arial" w:cs="Arial"/>
            <w:noProof/>
            <w:webHidden/>
          </w:rPr>
        </w:r>
        <w:r w:rsidRPr="00380606">
          <w:rPr>
            <w:rFonts w:ascii="Arial" w:hAnsi="Arial" w:cs="Arial"/>
            <w:noProof/>
            <w:webHidden/>
          </w:rPr>
          <w:fldChar w:fldCharType="separate"/>
        </w:r>
        <w:r w:rsidRPr="00380606">
          <w:rPr>
            <w:rFonts w:ascii="Arial" w:hAnsi="Arial" w:cs="Arial"/>
            <w:noProof/>
            <w:webHidden/>
          </w:rPr>
          <w:t>61</w:t>
        </w:r>
        <w:r w:rsidRPr="00380606">
          <w:rPr>
            <w:rFonts w:ascii="Arial" w:hAnsi="Arial" w:cs="Arial"/>
            <w:noProof/>
            <w:webHidden/>
          </w:rPr>
          <w:fldChar w:fldCharType="end"/>
        </w:r>
      </w:hyperlink>
    </w:p>
    <w:p w14:paraId="4949953F" w14:textId="11054B5F" w:rsidR="00380606" w:rsidRPr="00380606" w:rsidRDefault="00380606"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68861" w:history="1">
        <w:r w:rsidRPr="00380606">
          <w:rPr>
            <w:rStyle w:val="Hipervnculo"/>
            <w:rFonts w:ascii="Arial" w:hAnsi="Arial" w:cs="Arial"/>
            <w:noProof/>
          </w:rPr>
          <w:t>Gráfica 5. Total, de activos y pasivos, cifras en millones de pesos colombianos</w:t>
        </w:r>
        <w:r w:rsidRPr="00380606">
          <w:rPr>
            <w:rFonts w:ascii="Arial" w:hAnsi="Arial" w:cs="Arial"/>
            <w:noProof/>
            <w:webHidden/>
          </w:rPr>
          <w:tab/>
        </w:r>
        <w:r w:rsidRPr="00380606">
          <w:rPr>
            <w:rFonts w:ascii="Arial" w:hAnsi="Arial" w:cs="Arial"/>
            <w:noProof/>
            <w:webHidden/>
          </w:rPr>
          <w:fldChar w:fldCharType="begin"/>
        </w:r>
        <w:r w:rsidRPr="00380606">
          <w:rPr>
            <w:rFonts w:ascii="Arial" w:hAnsi="Arial" w:cs="Arial"/>
            <w:noProof/>
            <w:webHidden/>
          </w:rPr>
          <w:instrText xml:space="preserve"> PAGEREF _Toc233568861 \h </w:instrText>
        </w:r>
        <w:r w:rsidRPr="00380606">
          <w:rPr>
            <w:rFonts w:ascii="Arial" w:hAnsi="Arial" w:cs="Arial"/>
            <w:noProof/>
            <w:webHidden/>
          </w:rPr>
        </w:r>
        <w:r w:rsidRPr="00380606">
          <w:rPr>
            <w:rFonts w:ascii="Arial" w:hAnsi="Arial" w:cs="Arial"/>
            <w:noProof/>
            <w:webHidden/>
          </w:rPr>
          <w:fldChar w:fldCharType="separate"/>
        </w:r>
        <w:r w:rsidRPr="00380606">
          <w:rPr>
            <w:rFonts w:ascii="Arial" w:hAnsi="Arial" w:cs="Arial"/>
            <w:noProof/>
            <w:webHidden/>
          </w:rPr>
          <w:t>80</w:t>
        </w:r>
        <w:r w:rsidRPr="00380606">
          <w:rPr>
            <w:rFonts w:ascii="Arial" w:hAnsi="Arial" w:cs="Arial"/>
            <w:noProof/>
            <w:webHidden/>
          </w:rPr>
          <w:fldChar w:fldCharType="end"/>
        </w:r>
      </w:hyperlink>
    </w:p>
    <w:p w14:paraId="26EF73BF" w14:textId="3A743253" w:rsidR="00380606" w:rsidRPr="00380606" w:rsidRDefault="00380606"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68862" w:history="1">
        <w:r w:rsidRPr="00380606">
          <w:rPr>
            <w:rStyle w:val="Hipervnculo"/>
            <w:rFonts w:ascii="Arial" w:hAnsi="Arial" w:cs="Arial"/>
            <w:noProof/>
          </w:rPr>
          <w:t>Gráfica 6. Cuentas por pagar y total de pasivos (cifras en millones de pesos colombianos)</w:t>
        </w:r>
        <w:r w:rsidRPr="00380606">
          <w:rPr>
            <w:rFonts w:ascii="Arial" w:hAnsi="Arial" w:cs="Arial"/>
            <w:noProof/>
            <w:webHidden/>
          </w:rPr>
          <w:tab/>
        </w:r>
        <w:r w:rsidRPr="00380606">
          <w:rPr>
            <w:rFonts w:ascii="Arial" w:hAnsi="Arial" w:cs="Arial"/>
            <w:noProof/>
            <w:webHidden/>
          </w:rPr>
          <w:fldChar w:fldCharType="begin"/>
        </w:r>
        <w:r w:rsidRPr="00380606">
          <w:rPr>
            <w:rFonts w:ascii="Arial" w:hAnsi="Arial" w:cs="Arial"/>
            <w:noProof/>
            <w:webHidden/>
          </w:rPr>
          <w:instrText xml:space="preserve"> PAGEREF _Toc233568862 \h </w:instrText>
        </w:r>
        <w:r w:rsidRPr="00380606">
          <w:rPr>
            <w:rFonts w:ascii="Arial" w:hAnsi="Arial" w:cs="Arial"/>
            <w:noProof/>
            <w:webHidden/>
          </w:rPr>
        </w:r>
        <w:r w:rsidRPr="00380606">
          <w:rPr>
            <w:rFonts w:ascii="Arial" w:hAnsi="Arial" w:cs="Arial"/>
            <w:noProof/>
            <w:webHidden/>
          </w:rPr>
          <w:fldChar w:fldCharType="separate"/>
        </w:r>
        <w:r w:rsidRPr="00380606">
          <w:rPr>
            <w:rFonts w:ascii="Arial" w:hAnsi="Arial" w:cs="Arial"/>
            <w:noProof/>
            <w:webHidden/>
          </w:rPr>
          <w:t>85</w:t>
        </w:r>
        <w:r w:rsidRPr="00380606">
          <w:rPr>
            <w:rFonts w:ascii="Arial" w:hAnsi="Arial" w:cs="Arial"/>
            <w:noProof/>
            <w:webHidden/>
          </w:rPr>
          <w:fldChar w:fldCharType="end"/>
        </w:r>
      </w:hyperlink>
    </w:p>
    <w:p w14:paraId="4B382267" w14:textId="6F0B4F3B" w:rsidR="00380606" w:rsidRPr="00380606" w:rsidRDefault="00380606"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68863" w:history="1">
        <w:r w:rsidRPr="00380606">
          <w:rPr>
            <w:rStyle w:val="Hipervnculo"/>
            <w:rFonts w:ascii="Arial" w:hAnsi="Arial" w:cs="Arial"/>
            <w:noProof/>
          </w:rPr>
          <w:t>Gráfica 7. Porcentaje de endeudamiento Capital Salud EPS-S, enero-diciembre de 2025</w:t>
        </w:r>
        <w:r w:rsidRPr="00380606">
          <w:rPr>
            <w:rFonts w:ascii="Arial" w:hAnsi="Arial" w:cs="Arial"/>
            <w:noProof/>
            <w:webHidden/>
          </w:rPr>
          <w:tab/>
        </w:r>
        <w:r w:rsidRPr="00380606">
          <w:rPr>
            <w:rFonts w:ascii="Arial" w:hAnsi="Arial" w:cs="Arial"/>
            <w:noProof/>
            <w:webHidden/>
          </w:rPr>
          <w:fldChar w:fldCharType="begin"/>
        </w:r>
        <w:r w:rsidRPr="00380606">
          <w:rPr>
            <w:rFonts w:ascii="Arial" w:hAnsi="Arial" w:cs="Arial"/>
            <w:noProof/>
            <w:webHidden/>
          </w:rPr>
          <w:instrText xml:space="preserve"> PAGEREF _Toc233568863 \h </w:instrText>
        </w:r>
        <w:r w:rsidRPr="00380606">
          <w:rPr>
            <w:rFonts w:ascii="Arial" w:hAnsi="Arial" w:cs="Arial"/>
            <w:noProof/>
            <w:webHidden/>
          </w:rPr>
        </w:r>
        <w:r w:rsidRPr="00380606">
          <w:rPr>
            <w:rFonts w:ascii="Arial" w:hAnsi="Arial" w:cs="Arial"/>
            <w:noProof/>
            <w:webHidden/>
          </w:rPr>
          <w:fldChar w:fldCharType="separate"/>
        </w:r>
        <w:r w:rsidRPr="00380606">
          <w:rPr>
            <w:rFonts w:ascii="Arial" w:hAnsi="Arial" w:cs="Arial"/>
            <w:noProof/>
            <w:webHidden/>
          </w:rPr>
          <w:t>88</w:t>
        </w:r>
        <w:r w:rsidRPr="00380606">
          <w:rPr>
            <w:rFonts w:ascii="Arial" w:hAnsi="Arial" w:cs="Arial"/>
            <w:noProof/>
            <w:webHidden/>
          </w:rPr>
          <w:fldChar w:fldCharType="end"/>
        </w:r>
      </w:hyperlink>
    </w:p>
    <w:p w14:paraId="438CB637" w14:textId="05360280" w:rsidR="00380606" w:rsidRPr="00380606" w:rsidRDefault="00380606" w:rsidP="005B2285">
      <w:pPr>
        <w:pStyle w:val="Tabladeilustraciones"/>
        <w:tabs>
          <w:tab w:val="right" w:leader="dot" w:pos="8828"/>
        </w:tabs>
        <w:spacing w:line="360" w:lineRule="auto"/>
        <w:jc w:val="both"/>
        <w:rPr>
          <w:rFonts w:ascii="Arial" w:eastAsiaTheme="minorEastAsia" w:hAnsi="Arial" w:cs="Arial"/>
          <w:noProof/>
          <w:kern w:val="2"/>
          <w:lang w:eastAsia="es-CO"/>
          <w14:ligatures w14:val="standardContextual"/>
        </w:rPr>
      </w:pPr>
      <w:hyperlink w:anchor="_Toc233568864" w:history="1">
        <w:r w:rsidRPr="00380606">
          <w:rPr>
            <w:rStyle w:val="Hipervnculo"/>
            <w:rFonts w:ascii="Arial" w:hAnsi="Arial" w:cs="Arial"/>
            <w:noProof/>
          </w:rPr>
          <w:t>Gráfica 8. Siniestralidad Capital Salud EPS-S, enero-diciembre de 2025</w:t>
        </w:r>
        <w:r w:rsidRPr="00380606">
          <w:rPr>
            <w:rFonts w:ascii="Arial" w:hAnsi="Arial" w:cs="Arial"/>
            <w:noProof/>
            <w:webHidden/>
          </w:rPr>
          <w:tab/>
        </w:r>
        <w:r w:rsidRPr="00380606">
          <w:rPr>
            <w:rFonts w:ascii="Arial" w:hAnsi="Arial" w:cs="Arial"/>
            <w:noProof/>
            <w:webHidden/>
          </w:rPr>
          <w:fldChar w:fldCharType="begin"/>
        </w:r>
        <w:r w:rsidRPr="00380606">
          <w:rPr>
            <w:rFonts w:ascii="Arial" w:hAnsi="Arial" w:cs="Arial"/>
            <w:noProof/>
            <w:webHidden/>
          </w:rPr>
          <w:instrText xml:space="preserve"> PAGEREF _Toc233568864 \h </w:instrText>
        </w:r>
        <w:r w:rsidRPr="00380606">
          <w:rPr>
            <w:rFonts w:ascii="Arial" w:hAnsi="Arial" w:cs="Arial"/>
            <w:noProof/>
            <w:webHidden/>
          </w:rPr>
        </w:r>
        <w:r w:rsidRPr="00380606">
          <w:rPr>
            <w:rFonts w:ascii="Arial" w:hAnsi="Arial" w:cs="Arial"/>
            <w:noProof/>
            <w:webHidden/>
          </w:rPr>
          <w:fldChar w:fldCharType="separate"/>
        </w:r>
        <w:r w:rsidRPr="00380606">
          <w:rPr>
            <w:rFonts w:ascii="Arial" w:hAnsi="Arial" w:cs="Arial"/>
            <w:noProof/>
            <w:webHidden/>
          </w:rPr>
          <w:t>90</w:t>
        </w:r>
        <w:r w:rsidRPr="00380606">
          <w:rPr>
            <w:rFonts w:ascii="Arial" w:hAnsi="Arial" w:cs="Arial"/>
            <w:noProof/>
            <w:webHidden/>
          </w:rPr>
          <w:fldChar w:fldCharType="end"/>
        </w:r>
      </w:hyperlink>
    </w:p>
    <w:p w14:paraId="08F93803" w14:textId="08372BEF" w:rsidR="0039645E" w:rsidRPr="00953603" w:rsidRDefault="0039645E" w:rsidP="005B2285">
      <w:pPr>
        <w:spacing w:line="360" w:lineRule="auto"/>
        <w:jc w:val="both"/>
        <w:rPr>
          <w:rFonts w:ascii="Arial" w:hAnsi="Arial" w:cs="Arial"/>
          <w:b/>
          <w:bCs/>
          <w:color w:val="000000" w:themeColor="text1"/>
        </w:rPr>
      </w:pPr>
      <w:r w:rsidRPr="00380606">
        <w:rPr>
          <w:rFonts w:ascii="Arial" w:hAnsi="Arial" w:cs="Arial"/>
          <w:b/>
          <w:bCs/>
          <w:color w:val="000000" w:themeColor="text1"/>
        </w:rPr>
        <w:fldChar w:fldCharType="end"/>
      </w:r>
    </w:p>
    <w:p w14:paraId="6EC2AB2B" w14:textId="77777777" w:rsidR="00841523" w:rsidRPr="00242DFB" w:rsidRDefault="00841523" w:rsidP="005B2285">
      <w:pPr>
        <w:spacing w:line="360" w:lineRule="auto"/>
        <w:jc w:val="both"/>
        <w:rPr>
          <w:rFonts w:ascii="Arial" w:hAnsi="Arial" w:cs="Arial"/>
          <w:b/>
          <w:bCs/>
          <w:color w:val="000000" w:themeColor="text1"/>
        </w:rPr>
      </w:pPr>
    </w:p>
    <w:p w14:paraId="626D08F3" w14:textId="77777777" w:rsidR="00841523" w:rsidRPr="00242DFB" w:rsidRDefault="00841523" w:rsidP="005B2285">
      <w:pPr>
        <w:spacing w:line="360" w:lineRule="auto"/>
        <w:jc w:val="both"/>
        <w:rPr>
          <w:rFonts w:ascii="Arial" w:hAnsi="Arial" w:cs="Arial"/>
          <w:b/>
          <w:bCs/>
          <w:color w:val="000000" w:themeColor="text1"/>
        </w:rPr>
      </w:pPr>
    </w:p>
    <w:p w14:paraId="6AC356B6" w14:textId="77777777" w:rsidR="00841523" w:rsidRDefault="00841523" w:rsidP="005B2285">
      <w:pPr>
        <w:spacing w:line="360" w:lineRule="auto"/>
        <w:jc w:val="both"/>
        <w:rPr>
          <w:rFonts w:ascii="Arial" w:hAnsi="Arial" w:cs="Arial"/>
          <w:b/>
          <w:bCs/>
          <w:color w:val="000000" w:themeColor="text1"/>
        </w:rPr>
      </w:pPr>
    </w:p>
    <w:p w14:paraId="4F2B2619" w14:textId="77777777" w:rsidR="005B2DBF" w:rsidRDefault="005B2DBF" w:rsidP="005B2285">
      <w:pPr>
        <w:spacing w:line="360" w:lineRule="auto"/>
        <w:ind w:left="360"/>
        <w:jc w:val="both"/>
        <w:rPr>
          <w:rFonts w:ascii="Arial" w:hAnsi="Arial" w:cs="Arial"/>
          <w:b/>
          <w:bCs/>
          <w:color w:val="000000" w:themeColor="text1"/>
        </w:rPr>
      </w:pPr>
    </w:p>
    <w:p w14:paraId="7355FD42" w14:textId="77777777" w:rsidR="005B2285" w:rsidRDefault="005B2285" w:rsidP="005B2285">
      <w:pPr>
        <w:spacing w:line="360" w:lineRule="auto"/>
        <w:ind w:left="360"/>
        <w:jc w:val="both"/>
        <w:rPr>
          <w:rFonts w:ascii="Arial" w:hAnsi="Arial" w:cs="Arial"/>
          <w:b/>
          <w:bCs/>
          <w:color w:val="000000" w:themeColor="text1"/>
        </w:rPr>
      </w:pPr>
    </w:p>
    <w:p w14:paraId="248C3AD7" w14:textId="77777777" w:rsidR="005B2285" w:rsidRDefault="005B2285" w:rsidP="005B2285">
      <w:pPr>
        <w:spacing w:line="360" w:lineRule="auto"/>
        <w:ind w:left="360"/>
        <w:jc w:val="both"/>
        <w:rPr>
          <w:rFonts w:ascii="Arial" w:hAnsi="Arial" w:cs="Arial"/>
          <w:b/>
          <w:bCs/>
          <w:color w:val="000000" w:themeColor="text1"/>
        </w:rPr>
      </w:pPr>
    </w:p>
    <w:p w14:paraId="16BFA721" w14:textId="77777777" w:rsidR="005B2285" w:rsidRDefault="005B2285" w:rsidP="005B2285">
      <w:pPr>
        <w:spacing w:line="360" w:lineRule="auto"/>
        <w:ind w:left="360"/>
        <w:jc w:val="both"/>
        <w:rPr>
          <w:rFonts w:ascii="Arial" w:hAnsi="Arial" w:cs="Arial"/>
          <w:b/>
          <w:bCs/>
          <w:color w:val="000000" w:themeColor="text1"/>
        </w:rPr>
      </w:pPr>
    </w:p>
    <w:p w14:paraId="25F17B83" w14:textId="77777777" w:rsidR="009F762E" w:rsidRPr="00242DFB" w:rsidRDefault="00000000" w:rsidP="005B2285">
      <w:pPr>
        <w:pStyle w:val="Ttulo1"/>
        <w:numPr>
          <w:ilvl w:val="0"/>
          <w:numId w:val="7"/>
        </w:numPr>
        <w:spacing w:before="0" w:line="360" w:lineRule="auto"/>
        <w:jc w:val="both"/>
        <w:rPr>
          <w:rFonts w:ascii="Arial" w:eastAsia="Arial" w:hAnsi="Arial" w:cs="Arial"/>
          <w:b/>
          <w:bCs/>
          <w:color w:val="000000" w:themeColor="text1"/>
          <w:sz w:val="24"/>
          <w:szCs w:val="24"/>
        </w:rPr>
      </w:pPr>
      <w:bookmarkStart w:id="3" w:name="__RefHeading___Toc8566_542869190"/>
      <w:bookmarkStart w:id="4" w:name="_Toc230853758"/>
      <w:bookmarkStart w:id="5" w:name="_Toc233574820"/>
      <w:bookmarkEnd w:id="3"/>
      <w:r w:rsidRPr="00242DFB">
        <w:rPr>
          <w:rFonts w:ascii="Arial" w:eastAsia="Arial" w:hAnsi="Arial" w:cs="Arial"/>
          <w:b/>
          <w:bCs/>
          <w:color w:val="000000"/>
          <w:sz w:val="24"/>
          <w:szCs w:val="24"/>
        </w:rPr>
        <w:lastRenderedPageBreak/>
        <w:t>INTRODUCCIÓN</w:t>
      </w:r>
      <w:bookmarkEnd w:id="4"/>
      <w:bookmarkEnd w:id="5"/>
    </w:p>
    <w:p w14:paraId="3C1C1526" w14:textId="77777777" w:rsidR="009F762E" w:rsidRPr="00242DFB" w:rsidRDefault="009F762E" w:rsidP="005B2285">
      <w:pPr>
        <w:shd w:val="clear" w:color="auto" w:fill="FFFFFF" w:themeFill="background1"/>
        <w:spacing w:line="360" w:lineRule="auto"/>
        <w:jc w:val="both"/>
        <w:rPr>
          <w:rFonts w:ascii="Arial" w:eastAsia="Aptos" w:hAnsi="Arial" w:cs="Arial"/>
          <w:color w:val="000000" w:themeColor="text1"/>
        </w:rPr>
      </w:pPr>
    </w:p>
    <w:p w14:paraId="1C64345D" w14:textId="2C6A894B" w:rsidR="009F762E" w:rsidRPr="00242DFB" w:rsidRDefault="00000000" w:rsidP="005B2285">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La toma de decisiones en el sector salud requiere el análisis sistemático de información objetiva, verificable y proveniente de fuentes confiables, que permita evaluar integralmente el desempeño de los actores del Sistema General de Seguridad Social en Salud (SGSSS). E</w:t>
      </w:r>
      <w:r w:rsidR="00D85A1C">
        <w:rPr>
          <w:rFonts w:ascii="Arial" w:eastAsia="Arial" w:hAnsi="Arial" w:cs="Arial"/>
          <w:color w:val="000000"/>
        </w:rPr>
        <w:t xml:space="preserve"> </w:t>
      </w:r>
      <w:r w:rsidRPr="00242DFB">
        <w:rPr>
          <w:rFonts w:ascii="Arial" w:eastAsia="Arial" w:hAnsi="Arial" w:cs="Arial"/>
          <w:color w:val="000000"/>
        </w:rPr>
        <w:t>n el marco de las competencias asignadas a las entidades territoriales por la normatividad vigente, corresponde adelantar acciones de dirección, coordinación, inspección, vigilancia y seguimiento sobre la operación de las Entidades Promotoras de Salud (EPS), con el fin de contribuir a la garantía efectiva del derecho fundamental a la salud y a la adecuada gestión de los riesgos que puedan afectar la prestación de los servicios a la población afiliada.</w:t>
      </w:r>
    </w:p>
    <w:p w14:paraId="4B399A4B" w14:textId="77777777" w:rsidR="009F762E" w:rsidRPr="00242DFB" w:rsidRDefault="009F762E" w:rsidP="005B2285">
      <w:pPr>
        <w:shd w:val="clear" w:color="auto" w:fill="FFFFFF" w:themeFill="background1"/>
        <w:spacing w:line="360" w:lineRule="auto"/>
        <w:jc w:val="both"/>
        <w:rPr>
          <w:rFonts w:ascii="Arial" w:eastAsia="Arial" w:hAnsi="Arial" w:cs="Arial"/>
          <w:color w:val="000000" w:themeColor="text1"/>
        </w:rPr>
      </w:pPr>
    </w:p>
    <w:p w14:paraId="7BE10629" w14:textId="77777777" w:rsidR="009F762E" w:rsidRPr="00242DFB" w:rsidRDefault="00000000" w:rsidP="005B2285">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En este contexto, el análisis técnico basado en evidencia constituye un instrumento esencial para sustentar decisiones orientadas al fortalecimiento de la gobernanza del sistema, la protección de los usuarios, la identificación oportuna de riesgos operacionales, asistenciales y financieros, así como la adopción de medidas preventivas y correctivas que favorezcan la continuidad, oportunidad, accesibilidad, calidad y resolutividad de la atención en salud. Asimismo, permite focalizar las acciones de inspección, vigilancia y seguimiento mediante la identificación de alertas tempranas, brechas de desempeño y factores que puedan comprometer la garantía de los servicios de salud.</w:t>
      </w:r>
    </w:p>
    <w:p w14:paraId="02B647B6" w14:textId="77777777" w:rsidR="009F762E" w:rsidRPr="00242DFB" w:rsidRDefault="009F762E" w:rsidP="005B2285">
      <w:pPr>
        <w:shd w:val="clear" w:color="auto" w:fill="FFFFFF" w:themeFill="background1"/>
        <w:spacing w:line="360" w:lineRule="auto"/>
        <w:jc w:val="both"/>
        <w:rPr>
          <w:rFonts w:ascii="Arial" w:eastAsia="Arial" w:hAnsi="Arial" w:cs="Arial"/>
          <w:color w:val="000000" w:themeColor="text1"/>
        </w:rPr>
      </w:pPr>
    </w:p>
    <w:p w14:paraId="25E9CB7D" w14:textId="77777777" w:rsidR="009F762E" w:rsidRPr="00242DFB" w:rsidRDefault="00000000" w:rsidP="005B2285">
      <w:pPr>
        <w:shd w:val="clear" w:color="auto" w:fill="FFFFFF" w:themeFill="background1"/>
        <w:spacing w:line="360" w:lineRule="auto"/>
        <w:jc w:val="both"/>
        <w:rPr>
          <w:rFonts w:ascii="Arial" w:hAnsi="Arial" w:cs="Arial"/>
          <w:color w:val="000000"/>
        </w:rPr>
      </w:pPr>
      <w:r w:rsidRPr="00242DFB">
        <w:rPr>
          <w:rFonts w:ascii="Arial" w:hAnsi="Arial" w:cs="Arial"/>
          <w:color w:val="000000"/>
        </w:rPr>
        <w:t xml:space="preserve">El presente informe tiene como objetivo realizar una evaluación integral de la operación de Capital Salud EPS-S en el Distrito Capital, a partir del análisis de sus principales dimensiones de desempeño. Para ello, se examinan aspectos relacionados con la caracterización demográfica y epidemiológica de la población afiliada, la gestión integral del riesgo en salud, la organización y funcionamiento de la red de prestación de servicios, y el acceso efectivo a la atención, con énfasis en indicadores de oportunidad, continuidad y capacidad resolutiva. De manera complementaria, se incorporan las manifestaciones ciudadanas, incluyendo peticiones, quejas, reclamos y demás requerimientos, como fuente de información </w:t>
      </w:r>
      <w:r w:rsidRPr="00242DFB">
        <w:rPr>
          <w:rFonts w:ascii="Arial" w:hAnsi="Arial" w:cs="Arial"/>
          <w:color w:val="000000"/>
        </w:rPr>
        <w:lastRenderedPageBreak/>
        <w:t>relevante para la identificación de barreras de acceso, riesgos en la atención y tendencias asociadas a la experiencia de los usuarios. Igualmente, se analiza la situación financiera de la entidad, considerando elementos relacionados con la administración de los recursos del aseguramiento y su posible incidencia en la sostenibilidad operativa y la garantía de la prestación de servicios de salud.</w:t>
      </w:r>
    </w:p>
    <w:p w14:paraId="0F7769F0" w14:textId="77777777" w:rsidR="002A0E52" w:rsidRPr="00242DFB" w:rsidRDefault="002A0E52" w:rsidP="005B2285">
      <w:pPr>
        <w:shd w:val="clear" w:color="auto" w:fill="FFFFFF" w:themeFill="background1"/>
        <w:spacing w:line="360" w:lineRule="auto"/>
        <w:jc w:val="both"/>
        <w:rPr>
          <w:rFonts w:ascii="Arial" w:eastAsia="Arial" w:hAnsi="Arial" w:cs="Arial"/>
          <w:color w:val="000000" w:themeColor="text1"/>
        </w:rPr>
      </w:pPr>
    </w:p>
    <w:p w14:paraId="153040FF" w14:textId="77777777" w:rsidR="009F762E" w:rsidRPr="00242DFB" w:rsidRDefault="00000000" w:rsidP="005B2285">
      <w:pPr>
        <w:shd w:val="clear" w:color="auto" w:fill="FFFFFF" w:themeFill="background1"/>
        <w:spacing w:line="360" w:lineRule="auto"/>
        <w:jc w:val="both"/>
        <w:rPr>
          <w:rFonts w:ascii="Arial" w:eastAsia="Arial" w:hAnsi="Arial" w:cs="Arial"/>
          <w:color w:val="000000" w:themeColor="text1"/>
        </w:rPr>
      </w:pPr>
      <w:r w:rsidRPr="00242DFB">
        <w:rPr>
          <w:rFonts w:ascii="Arial" w:hAnsi="Arial" w:cs="Arial"/>
          <w:color w:val="000000"/>
        </w:rPr>
        <w:t>El informe se fundamenta en la revisión y análisis de la información reportada por Capital Salud EPS-S, complementada con los resultados de las actuaciones adelantadas por el equipo de Inspección, Vigilancia y Seguimiento (IVS) de la Secretaría Distrital de Salud, así como con la evaluación de indicadores, reportes, alertas y demás información oficial publicada por la Superintendencia Nacional de Salud y otras fuentes institucionales. La integración y triangulación de estas evidencias permite consolidar hallazgos con sustento técnico, identificar brechas y riesgos relevantes para la gestión del aseguramiento y generar insumos para la toma de decisiones institucionales orientadas al fortalecimiento del seguimiento, la definición de acciones de mejora y la protección de la población afiliada en el Distrito Capital.</w:t>
      </w:r>
    </w:p>
    <w:p w14:paraId="773A4529" w14:textId="77777777" w:rsidR="009F762E" w:rsidRPr="00242DFB" w:rsidRDefault="009F762E" w:rsidP="005B2285">
      <w:pPr>
        <w:spacing w:line="360" w:lineRule="auto"/>
        <w:jc w:val="both"/>
        <w:rPr>
          <w:rFonts w:ascii="Arial" w:eastAsia="Arial" w:hAnsi="Arial" w:cs="Arial"/>
          <w:color w:val="000000" w:themeColor="text1"/>
        </w:rPr>
      </w:pPr>
    </w:p>
    <w:p w14:paraId="117C1D86" w14:textId="77777777" w:rsidR="009F762E" w:rsidRPr="00242DFB" w:rsidRDefault="00000000" w:rsidP="005B2285">
      <w:pPr>
        <w:pStyle w:val="Ttulo1"/>
        <w:numPr>
          <w:ilvl w:val="0"/>
          <w:numId w:val="7"/>
        </w:numPr>
        <w:spacing w:before="0" w:line="360" w:lineRule="auto"/>
        <w:jc w:val="both"/>
        <w:rPr>
          <w:rFonts w:ascii="Arial" w:eastAsia="Arial" w:hAnsi="Arial" w:cs="Arial"/>
          <w:b/>
          <w:bCs/>
          <w:color w:val="000000" w:themeColor="text1"/>
          <w:sz w:val="24"/>
          <w:szCs w:val="24"/>
        </w:rPr>
      </w:pPr>
      <w:bookmarkStart w:id="6" w:name="__RefHeading___Toc8568_542869190"/>
      <w:bookmarkStart w:id="7" w:name="_Toc230853759"/>
      <w:bookmarkStart w:id="8" w:name="_Toc233574821"/>
      <w:bookmarkEnd w:id="6"/>
      <w:r w:rsidRPr="00242DFB">
        <w:rPr>
          <w:rFonts w:ascii="Arial" w:eastAsia="Arial" w:hAnsi="Arial" w:cs="Arial"/>
          <w:b/>
          <w:bCs/>
          <w:color w:val="000000"/>
          <w:sz w:val="24"/>
          <w:szCs w:val="24"/>
        </w:rPr>
        <w:t>ANTECEDENTES</w:t>
      </w:r>
      <w:bookmarkEnd w:id="7"/>
      <w:bookmarkEnd w:id="8"/>
      <w:r w:rsidRPr="00242DFB">
        <w:rPr>
          <w:rFonts w:ascii="Arial" w:eastAsia="Arial" w:hAnsi="Arial" w:cs="Arial"/>
          <w:b/>
          <w:bCs/>
          <w:color w:val="000000"/>
          <w:sz w:val="24"/>
          <w:szCs w:val="24"/>
        </w:rPr>
        <w:t xml:space="preserve"> </w:t>
      </w:r>
    </w:p>
    <w:p w14:paraId="6185593F" w14:textId="77777777" w:rsidR="009F762E" w:rsidRPr="00242DFB" w:rsidRDefault="009F762E" w:rsidP="005B2285">
      <w:pPr>
        <w:shd w:val="clear" w:color="auto" w:fill="FFFFFF" w:themeFill="background1"/>
        <w:spacing w:line="360" w:lineRule="auto"/>
        <w:jc w:val="both"/>
        <w:rPr>
          <w:rFonts w:ascii="Arial" w:eastAsia="Arial" w:hAnsi="Arial" w:cs="Arial"/>
          <w:color w:val="000000" w:themeColor="text1"/>
        </w:rPr>
      </w:pPr>
    </w:p>
    <w:p w14:paraId="53BDAF3C" w14:textId="77777777" w:rsidR="009F762E" w:rsidRPr="00242DFB" w:rsidRDefault="00000000" w:rsidP="005B2285">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La Secretaría Distrital de Salud, en su calidad de entidad rectora en salud del Distrito Capital, tiene la responsabilidad de orientar, coordinar y evaluar las acciones encaminadas a garantizar el goce efectivo del derecho fundamental a la salud. En desarrollo de esta función, debe propiciar las condiciones necesarias para asegurar el acceso oportuno, continuo, integral y de calidad a los servicios de salud, en el marco del Sistema General de Seguridad Social en Salud (SGSSS) y de las competencias asignadas por la normatividad vigente.</w:t>
      </w:r>
    </w:p>
    <w:p w14:paraId="2EF87979" w14:textId="77777777" w:rsidR="009F762E" w:rsidRPr="00242DFB" w:rsidRDefault="009F762E" w:rsidP="005B2285">
      <w:pPr>
        <w:shd w:val="clear" w:color="auto" w:fill="FFFFFF" w:themeFill="background1"/>
        <w:spacing w:line="360" w:lineRule="auto"/>
        <w:jc w:val="both"/>
        <w:rPr>
          <w:rFonts w:ascii="Arial" w:eastAsia="Arial" w:hAnsi="Arial" w:cs="Arial"/>
          <w:color w:val="000000" w:themeColor="text1"/>
        </w:rPr>
      </w:pPr>
    </w:p>
    <w:p w14:paraId="0D58E749" w14:textId="77777777" w:rsidR="009F762E" w:rsidRPr="00242DFB" w:rsidRDefault="00000000" w:rsidP="005B2285">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 xml:space="preserve">La Ley 715 de 2001 establece las competencias de las entidades territoriales en materia de salud, otorgándoles responsabilidades relacionadas con la dirección, coordinación, supervisión, seguimiento y evaluación del sector, así como con la </w:t>
      </w:r>
      <w:r w:rsidRPr="00242DFB">
        <w:rPr>
          <w:rFonts w:ascii="Arial" w:eastAsia="Arial" w:hAnsi="Arial" w:cs="Arial"/>
          <w:color w:val="000000"/>
        </w:rPr>
        <w:lastRenderedPageBreak/>
        <w:t>vigilancia del cumplimiento de las políticas, normas técnicas, científicas y administrativas expedidas por el Ministerio de Salud y Protección Social. Estas funciones buscan contribuir al cumplimiento de los objetivos del sistema y a la protección de los derechos de la población, sin perjuicio de las competencias atribuidas a otras autoridades de inspección, vigilancia y control.</w:t>
      </w:r>
    </w:p>
    <w:p w14:paraId="26AD8435" w14:textId="77777777" w:rsidR="009F762E" w:rsidRPr="00242DFB" w:rsidRDefault="009F762E" w:rsidP="005B2285">
      <w:pPr>
        <w:shd w:val="clear" w:color="auto" w:fill="FFFFFF" w:themeFill="background1"/>
        <w:spacing w:line="360" w:lineRule="auto"/>
        <w:jc w:val="both"/>
        <w:rPr>
          <w:rFonts w:ascii="Arial" w:eastAsia="Arial" w:hAnsi="Arial" w:cs="Arial"/>
          <w:color w:val="000000" w:themeColor="text1"/>
        </w:rPr>
      </w:pPr>
    </w:p>
    <w:p w14:paraId="69B5B0EE" w14:textId="77777777" w:rsidR="009F762E" w:rsidRPr="00242DFB" w:rsidRDefault="00000000" w:rsidP="005B2285">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Por su parte, la Ley 1122 de 2007 define las funciones esenciales e indelegables de las Entidades Promotoras de Salud (EPS), entre las que se encuentran la gestión del riesgo en salud, la gestión del riesgo financiero, la organización y articulación de la prestación de servicios para la población afiliada, la garantía de la calidad de la atención y la representación de los usuarios ante los demás actores del sistema. Estas responsabilidades constituyen elementos fundamentales para la adecuada operación del aseguramiento y para la garantía efectiva del acceso a los servicios de salud.</w:t>
      </w:r>
    </w:p>
    <w:p w14:paraId="7A5185D4" w14:textId="77777777" w:rsidR="009F762E" w:rsidRPr="00242DFB" w:rsidRDefault="009F762E" w:rsidP="005B2285">
      <w:pPr>
        <w:shd w:val="clear" w:color="auto" w:fill="FFFFFF" w:themeFill="background1"/>
        <w:spacing w:line="360" w:lineRule="auto"/>
        <w:jc w:val="both"/>
        <w:rPr>
          <w:rFonts w:ascii="Arial" w:eastAsia="Arial" w:hAnsi="Arial" w:cs="Arial"/>
          <w:color w:val="000000" w:themeColor="text1"/>
        </w:rPr>
      </w:pPr>
    </w:p>
    <w:p w14:paraId="24882162" w14:textId="77777777" w:rsidR="009F762E" w:rsidRPr="00242DFB" w:rsidRDefault="00000000" w:rsidP="005B2285">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De igual manera, la Ley 1438 de 2011 fortaleció las competencias de las entidades territoriales en materia de aseguramiento, prestación de servicios e inspección, vigilancia y control, consolidando su papel en el seguimiento al desempeño de los actores del sistema y en la identificación de riesgos que puedan afectar la atención de la población.</w:t>
      </w:r>
    </w:p>
    <w:p w14:paraId="157580C0" w14:textId="77777777" w:rsidR="009F762E" w:rsidRPr="00242DFB" w:rsidRDefault="009F762E" w:rsidP="005B2285">
      <w:pPr>
        <w:shd w:val="clear" w:color="auto" w:fill="FFFFFF" w:themeFill="background1"/>
        <w:spacing w:line="360" w:lineRule="auto"/>
        <w:jc w:val="both"/>
        <w:rPr>
          <w:rFonts w:ascii="Arial" w:eastAsia="Arial" w:hAnsi="Arial" w:cs="Arial"/>
          <w:color w:val="000000" w:themeColor="text1"/>
        </w:rPr>
      </w:pPr>
    </w:p>
    <w:p w14:paraId="57D8F88D" w14:textId="77777777" w:rsidR="009F762E" w:rsidRPr="00242DFB" w:rsidRDefault="00000000" w:rsidP="005B2285">
      <w:pPr>
        <w:shd w:val="clear" w:color="auto" w:fill="FFFFFF" w:themeFill="background1"/>
        <w:spacing w:line="360" w:lineRule="auto"/>
        <w:jc w:val="both"/>
        <w:rPr>
          <w:rFonts w:ascii="Arial" w:eastAsia="Arial" w:hAnsi="Arial" w:cs="Arial"/>
          <w:color w:val="000000" w:themeColor="text1"/>
        </w:rPr>
      </w:pPr>
      <w:r w:rsidRPr="00242DFB">
        <w:rPr>
          <w:rFonts w:ascii="Arial" w:eastAsia="Arial" w:hAnsi="Arial" w:cs="Arial"/>
          <w:color w:val="000000"/>
        </w:rPr>
        <w:t xml:space="preserve">En este marco normativo y funcional, la Secretaría Distrital de Salud adelanta acciones de Inspección, Vigilancia y Seguimiento (IVS) sobre la operación de las Entidades Administradoras de Planes de Beneficios (EAPB) con presencia en el Distrito Capital, con el propósito de verificar el cumplimiento de sus obligaciones legales, contractuales y regulatorias frente a la población afiliada. Estas actuaciones permiten evaluar el desempeño institucional, identificar oportunamente riesgos operativos, asistenciales, financieros y de gestión, detectar barreras de acceso y posibles afectaciones en la continuidad y calidad de la atención, así como generar información técnica que sirva de soporte para la toma de decisiones orientadas al </w:t>
      </w:r>
      <w:r w:rsidRPr="00242DFB">
        <w:rPr>
          <w:rFonts w:ascii="Arial" w:eastAsia="Arial" w:hAnsi="Arial" w:cs="Arial"/>
          <w:color w:val="000000"/>
        </w:rPr>
        <w:lastRenderedPageBreak/>
        <w:t>fortalecimiento del aseguramiento y la protección del derecho fundamental a la salud.</w:t>
      </w:r>
    </w:p>
    <w:p w14:paraId="39C418E8" w14:textId="77777777" w:rsidR="009F762E" w:rsidRPr="00242DFB" w:rsidRDefault="009F762E" w:rsidP="005B2285">
      <w:pPr>
        <w:spacing w:line="360" w:lineRule="auto"/>
        <w:jc w:val="both"/>
        <w:rPr>
          <w:rFonts w:ascii="Arial" w:eastAsia="Arial" w:hAnsi="Arial" w:cs="Arial"/>
          <w:color w:val="000000" w:themeColor="text1"/>
        </w:rPr>
      </w:pPr>
    </w:p>
    <w:p w14:paraId="32FC5466" w14:textId="69010DEB" w:rsidR="009F762E" w:rsidRPr="00242DFB" w:rsidRDefault="00000000" w:rsidP="005B2285">
      <w:pPr>
        <w:pStyle w:val="Ttulo2"/>
        <w:numPr>
          <w:ilvl w:val="1"/>
          <w:numId w:val="7"/>
        </w:numPr>
        <w:spacing w:before="0" w:line="360" w:lineRule="auto"/>
        <w:jc w:val="both"/>
        <w:rPr>
          <w:rFonts w:ascii="Arial" w:eastAsia="Arial" w:hAnsi="Arial" w:cs="Arial"/>
          <w:b/>
          <w:bCs/>
          <w:color w:val="000000" w:themeColor="text1"/>
          <w:sz w:val="24"/>
          <w:szCs w:val="24"/>
        </w:rPr>
      </w:pPr>
      <w:bookmarkStart w:id="9" w:name="__RefHeading___Toc8570_542869190"/>
      <w:bookmarkStart w:id="10" w:name="_Toc230853760"/>
      <w:bookmarkStart w:id="11" w:name="_Toc233574822"/>
      <w:bookmarkEnd w:id="9"/>
      <w:r w:rsidRPr="00242DFB">
        <w:rPr>
          <w:rFonts w:ascii="Arial" w:eastAsia="Arial" w:hAnsi="Arial" w:cs="Arial"/>
          <w:b/>
          <w:bCs/>
          <w:color w:val="000000"/>
          <w:sz w:val="24"/>
          <w:szCs w:val="24"/>
        </w:rPr>
        <w:t>Contexto del aseguramiento en Bogotá</w:t>
      </w:r>
      <w:bookmarkEnd w:id="10"/>
      <w:r w:rsidRPr="00242DFB">
        <w:rPr>
          <w:rFonts w:ascii="Arial" w:eastAsia="Arial" w:hAnsi="Arial" w:cs="Arial"/>
          <w:b/>
          <w:bCs/>
          <w:color w:val="000000"/>
          <w:sz w:val="24"/>
          <w:szCs w:val="24"/>
        </w:rPr>
        <w:t xml:space="preserve"> </w:t>
      </w:r>
      <w:r w:rsidR="00181396">
        <w:rPr>
          <w:rStyle w:val="Refdenotaalpie"/>
          <w:rFonts w:ascii="Arial" w:eastAsia="Arial" w:hAnsi="Arial" w:cs="Arial"/>
          <w:b/>
          <w:bCs/>
          <w:color w:val="000000"/>
          <w:sz w:val="24"/>
          <w:szCs w:val="24"/>
        </w:rPr>
        <w:footnoteReference w:id="1"/>
      </w:r>
      <w:bookmarkEnd w:id="11"/>
    </w:p>
    <w:p w14:paraId="153E97E9" w14:textId="77777777" w:rsidR="009F762E" w:rsidRPr="00242DFB" w:rsidRDefault="009F762E" w:rsidP="005B2285">
      <w:pPr>
        <w:spacing w:line="360" w:lineRule="auto"/>
        <w:jc w:val="both"/>
        <w:rPr>
          <w:rFonts w:ascii="Arial" w:hAnsi="Arial" w:cs="Arial"/>
          <w:color w:val="000000" w:themeColor="text1"/>
        </w:rPr>
      </w:pPr>
    </w:p>
    <w:p w14:paraId="6D0F9D7F" w14:textId="1FE96BDA" w:rsidR="0089421B" w:rsidRPr="00242DFB" w:rsidRDefault="0089421B" w:rsidP="005B2285">
      <w:pPr>
        <w:spacing w:line="360" w:lineRule="auto"/>
        <w:jc w:val="both"/>
        <w:rPr>
          <w:rFonts w:ascii="Arial" w:eastAsia="Arial" w:hAnsi="Arial" w:cs="Arial"/>
          <w:sz w:val="22"/>
          <w:szCs w:val="22"/>
        </w:rPr>
      </w:pPr>
      <w:r w:rsidRPr="00242DFB">
        <w:rPr>
          <w:rFonts w:ascii="Arial" w:eastAsia="Arial" w:hAnsi="Arial" w:cs="Arial"/>
          <w:sz w:val="22"/>
          <w:szCs w:val="22"/>
        </w:rPr>
        <w:t>Para el año 2025, con corte a 31 de diciembre</w:t>
      </w:r>
      <w:r w:rsidRPr="00242DFB">
        <w:rPr>
          <w:rStyle w:val="Refdenotaalpie"/>
          <w:rFonts w:ascii="Arial" w:eastAsia="Arial" w:hAnsi="Arial" w:cs="Arial"/>
          <w:sz w:val="22"/>
          <w:szCs w:val="22"/>
        </w:rPr>
        <w:footnoteReference w:id="2"/>
      </w:r>
      <w:r w:rsidRPr="00242DFB">
        <w:rPr>
          <w:rFonts w:ascii="Arial" w:eastAsia="Arial" w:hAnsi="Arial" w:cs="Arial"/>
          <w:sz w:val="22"/>
          <w:szCs w:val="22"/>
        </w:rPr>
        <w:t xml:space="preserve"> y de acuerdo con la BDUA, Bogotá registra un total de 8.021.580 afiliados al Sistema General de Seguridad Social en Salud, cifra que supera la proyección poblacional del DANE estimada en 7.937.898 habitantes, lo que corresponde a una cobertura del 100 %. Este comportamiento es consistente con la dinámica del sistema, asociada a procesos de afiliaciones múltiples, fenómenos migratorios y ejercicios de depuración administrativa.</w:t>
      </w:r>
      <w:r w:rsidR="00E31526">
        <w:rPr>
          <w:rFonts w:ascii="Arial" w:eastAsia="Arial" w:hAnsi="Arial" w:cs="Arial"/>
          <w:sz w:val="22"/>
          <w:szCs w:val="22"/>
        </w:rPr>
        <w:t xml:space="preserve"> </w:t>
      </w:r>
      <w:r w:rsidRPr="00242DFB">
        <w:rPr>
          <w:rFonts w:ascii="Arial" w:eastAsia="Arial" w:hAnsi="Arial" w:cs="Arial"/>
          <w:sz w:val="22"/>
          <w:szCs w:val="22"/>
        </w:rPr>
        <w:t>El aseguramiento en la ciudad se concentra principalmente en el régimen contributivo, que agrupa 6.026.881 afiliados (75,9%), seguido del régimen subsidiado con 1.744.899 personas (22,0%). Por su parte, los regímenes de excepción representan una proporción menor, con un estimado de 249.800 afiliados (3,1%). Esta distribución refleja el perfil socioeconómico de Bogotá, caracterizado por una alta participación en el mercado laboral formal. En la tabla 1, se relaciona el estado del aseguramiento en salud de la población de Bogotá para el 2025.</w:t>
      </w:r>
    </w:p>
    <w:p w14:paraId="7146A090" w14:textId="77777777" w:rsidR="0089421B" w:rsidRPr="00242DFB" w:rsidRDefault="0089421B" w:rsidP="005B2285">
      <w:pPr>
        <w:spacing w:line="360" w:lineRule="auto"/>
        <w:rPr>
          <w:rFonts w:ascii="Arial" w:eastAsia="Arial" w:hAnsi="Arial" w:cs="Arial"/>
          <w:sz w:val="22"/>
          <w:szCs w:val="22"/>
        </w:rPr>
      </w:pPr>
    </w:p>
    <w:p w14:paraId="04FAE45C" w14:textId="58DB4F34" w:rsidR="00E31526" w:rsidRPr="00E31526" w:rsidRDefault="0089421B" w:rsidP="005B2285">
      <w:pPr>
        <w:pStyle w:val="Descripcin"/>
        <w:keepNext/>
        <w:spacing w:after="0"/>
        <w:jc w:val="center"/>
      </w:pPr>
      <w:bookmarkStart w:id="12" w:name="_Toc233574861"/>
      <w:r w:rsidRPr="00242DFB">
        <w:rPr>
          <w:rFonts w:ascii="Arial" w:hAnsi="Arial" w:cs="Arial"/>
          <w:color w:val="auto"/>
          <w:sz w:val="24"/>
          <w:szCs w:val="24"/>
        </w:rPr>
        <w:lastRenderedPageBreak/>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1</w:t>
      </w:r>
      <w:r w:rsidRPr="00242DFB">
        <w:rPr>
          <w:rFonts w:ascii="Arial" w:hAnsi="Arial" w:cs="Arial"/>
          <w:color w:val="auto"/>
          <w:sz w:val="24"/>
          <w:szCs w:val="24"/>
        </w:rPr>
        <w:fldChar w:fldCharType="end"/>
      </w:r>
      <w:r w:rsidRPr="00242DFB">
        <w:rPr>
          <w:rFonts w:ascii="Arial" w:hAnsi="Arial" w:cs="Arial"/>
          <w:color w:val="auto"/>
          <w:sz w:val="24"/>
          <w:szCs w:val="24"/>
        </w:rPr>
        <w:t>. Estado del aseguramiento población de Bogotá, 2025</w:t>
      </w:r>
      <w:bookmarkEnd w:id="12"/>
    </w:p>
    <w:tbl>
      <w:tblPr>
        <w:tblStyle w:val="Tablaconcuadrcula"/>
        <w:tblW w:w="9161" w:type="dxa"/>
        <w:tblLook w:val="04A0" w:firstRow="1" w:lastRow="0" w:firstColumn="1" w:lastColumn="0" w:noHBand="0" w:noVBand="1"/>
      </w:tblPr>
      <w:tblGrid>
        <w:gridCol w:w="4186"/>
        <w:gridCol w:w="1833"/>
        <w:gridCol w:w="3142"/>
      </w:tblGrid>
      <w:tr w:rsidR="0089421B" w:rsidRPr="00242DFB" w14:paraId="76DAE614" w14:textId="77777777" w:rsidTr="00E31526">
        <w:trPr>
          <w:trHeight w:val="511"/>
          <w:tblHeader/>
        </w:trPr>
        <w:tc>
          <w:tcPr>
            <w:tcW w:w="4186" w:type="dxa"/>
            <w:noWrap/>
            <w:vAlign w:val="center"/>
            <w:hideMark/>
          </w:tcPr>
          <w:p w14:paraId="3D8ABA10" w14:textId="77777777" w:rsidR="0089421B" w:rsidRPr="00242DFB" w:rsidRDefault="0089421B" w:rsidP="005B2285">
            <w:pPr>
              <w:spacing w:line="360" w:lineRule="auto"/>
              <w:jc w:val="center"/>
              <w:rPr>
                <w:rFonts w:ascii="Arial" w:hAnsi="Arial" w:cs="Arial"/>
                <w:b/>
                <w:bCs/>
                <w:sz w:val="22"/>
                <w:szCs w:val="22"/>
                <w:lang w:eastAsia="es-CO"/>
              </w:rPr>
            </w:pPr>
            <w:r w:rsidRPr="00242DFB">
              <w:rPr>
                <w:rFonts w:ascii="Arial" w:hAnsi="Arial" w:cs="Arial"/>
                <w:b/>
                <w:bCs/>
                <w:sz w:val="22"/>
                <w:szCs w:val="22"/>
                <w:lang w:eastAsia="es-CO"/>
              </w:rPr>
              <w:t>Afiliados por Régimen</w:t>
            </w:r>
          </w:p>
        </w:tc>
        <w:tc>
          <w:tcPr>
            <w:tcW w:w="1833" w:type="dxa"/>
            <w:noWrap/>
            <w:vAlign w:val="center"/>
            <w:hideMark/>
          </w:tcPr>
          <w:p w14:paraId="0E10C285" w14:textId="77777777" w:rsidR="0089421B" w:rsidRPr="00242DFB" w:rsidRDefault="0089421B" w:rsidP="005B2285">
            <w:pPr>
              <w:spacing w:line="360" w:lineRule="auto"/>
              <w:jc w:val="center"/>
              <w:rPr>
                <w:rFonts w:ascii="Arial" w:hAnsi="Arial" w:cs="Arial"/>
                <w:b/>
                <w:bCs/>
                <w:sz w:val="22"/>
                <w:szCs w:val="22"/>
                <w:lang w:eastAsia="es-CO"/>
              </w:rPr>
            </w:pPr>
            <w:r w:rsidRPr="00242DFB">
              <w:rPr>
                <w:rFonts w:ascii="Arial" w:hAnsi="Arial" w:cs="Arial"/>
                <w:b/>
                <w:bCs/>
                <w:sz w:val="22"/>
                <w:szCs w:val="22"/>
                <w:lang w:eastAsia="es-CO"/>
              </w:rPr>
              <w:t>Cantidad</w:t>
            </w:r>
          </w:p>
        </w:tc>
        <w:tc>
          <w:tcPr>
            <w:tcW w:w="3142" w:type="dxa"/>
            <w:vAlign w:val="center"/>
            <w:hideMark/>
          </w:tcPr>
          <w:p w14:paraId="34031F77" w14:textId="77777777" w:rsidR="0089421B" w:rsidRPr="00242DFB" w:rsidRDefault="0089421B" w:rsidP="005B2285">
            <w:pPr>
              <w:spacing w:line="360" w:lineRule="auto"/>
              <w:jc w:val="center"/>
              <w:rPr>
                <w:rFonts w:ascii="Arial" w:hAnsi="Arial" w:cs="Arial"/>
                <w:b/>
                <w:bCs/>
                <w:sz w:val="22"/>
                <w:szCs w:val="22"/>
                <w:lang w:eastAsia="es-CO"/>
              </w:rPr>
            </w:pPr>
            <w:r w:rsidRPr="00242DFB">
              <w:rPr>
                <w:rFonts w:ascii="Arial" w:hAnsi="Arial" w:cs="Arial"/>
                <w:b/>
                <w:bCs/>
                <w:sz w:val="22"/>
                <w:szCs w:val="22"/>
                <w:lang w:eastAsia="es-CO"/>
              </w:rPr>
              <w:t>% de Población del Total de afiliados</w:t>
            </w:r>
          </w:p>
        </w:tc>
      </w:tr>
      <w:tr w:rsidR="0089421B" w:rsidRPr="00242DFB" w14:paraId="73BF6622" w14:textId="77777777" w:rsidTr="00E31526">
        <w:trPr>
          <w:trHeight w:val="183"/>
        </w:trPr>
        <w:tc>
          <w:tcPr>
            <w:tcW w:w="4186" w:type="dxa"/>
            <w:noWrap/>
            <w:hideMark/>
          </w:tcPr>
          <w:p w14:paraId="46B982E7" w14:textId="77777777" w:rsidR="0089421B" w:rsidRPr="00242DFB" w:rsidRDefault="0089421B" w:rsidP="005B2285">
            <w:pPr>
              <w:spacing w:line="360" w:lineRule="auto"/>
              <w:rPr>
                <w:rFonts w:ascii="Arial" w:hAnsi="Arial" w:cs="Arial"/>
                <w:sz w:val="22"/>
                <w:szCs w:val="22"/>
                <w:lang w:eastAsia="es-CO"/>
              </w:rPr>
            </w:pPr>
            <w:r w:rsidRPr="00242DFB">
              <w:rPr>
                <w:rFonts w:ascii="Arial" w:hAnsi="Arial" w:cs="Arial"/>
                <w:sz w:val="22"/>
                <w:szCs w:val="22"/>
                <w:lang w:eastAsia="es-CO"/>
              </w:rPr>
              <w:t>Régimen Contributivo</w:t>
            </w:r>
          </w:p>
        </w:tc>
        <w:tc>
          <w:tcPr>
            <w:tcW w:w="1833" w:type="dxa"/>
            <w:noWrap/>
          </w:tcPr>
          <w:p w14:paraId="55DFB8A6" w14:textId="77777777" w:rsidR="0089421B" w:rsidRPr="00242DFB" w:rsidRDefault="0089421B" w:rsidP="005B2285">
            <w:pPr>
              <w:spacing w:line="360" w:lineRule="auto"/>
              <w:jc w:val="right"/>
              <w:rPr>
                <w:rFonts w:ascii="Arial" w:hAnsi="Arial" w:cs="Arial"/>
                <w:sz w:val="22"/>
                <w:szCs w:val="22"/>
                <w:lang w:eastAsia="es-CO"/>
              </w:rPr>
            </w:pPr>
            <w:r w:rsidRPr="00242DFB">
              <w:rPr>
                <w:rFonts w:ascii="Arial" w:hAnsi="Arial" w:cs="Arial"/>
                <w:sz w:val="22"/>
                <w:szCs w:val="22"/>
                <w:lang w:eastAsia="es-CO"/>
              </w:rPr>
              <w:t>6.026.881</w:t>
            </w:r>
          </w:p>
        </w:tc>
        <w:tc>
          <w:tcPr>
            <w:tcW w:w="3142" w:type="dxa"/>
            <w:noWrap/>
          </w:tcPr>
          <w:p w14:paraId="02BBA541" w14:textId="59BA8D95" w:rsidR="0089421B" w:rsidRPr="00242DFB" w:rsidRDefault="0089421B" w:rsidP="005B2285">
            <w:pPr>
              <w:spacing w:line="360" w:lineRule="auto"/>
              <w:jc w:val="right"/>
              <w:rPr>
                <w:rFonts w:ascii="Arial" w:hAnsi="Arial" w:cs="Arial"/>
                <w:sz w:val="22"/>
                <w:szCs w:val="22"/>
                <w:lang w:eastAsia="es-CO"/>
              </w:rPr>
            </w:pPr>
            <w:r w:rsidRPr="00242DFB">
              <w:rPr>
                <w:rFonts w:ascii="Arial" w:hAnsi="Arial" w:cs="Arial"/>
                <w:sz w:val="22"/>
                <w:szCs w:val="22"/>
                <w:lang w:eastAsia="es-CO"/>
              </w:rPr>
              <w:t>75,</w:t>
            </w:r>
            <w:r w:rsidR="004E3E9C">
              <w:rPr>
                <w:rFonts w:ascii="Arial" w:hAnsi="Arial" w:cs="Arial"/>
                <w:sz w:val="22"/>
                <w:szCs w:val="22"/>
                <w:lang w:eastAsia="es-CO"/>
              </w:rPr>
              <w:t>13</w:t>
            </w:r>
            <w:r w:rsidRPr="00242DFB">
              <w:rPr>
                <w:rFonts w:ascii="Arial" w:hAnsi="Arial" w:cs="Arial"/>
                <w:sz w:val="22"/>
                <w:szCs w:val="22"/>
                <w:lang w:eastAsia="es-CO"/>
              </w:rPr>
              <w:t>%</w:t>
            </w:r>
          </w:p>
        </w:tc>
      </w:tr>
      <w:tr w:rsidR="0089421B" w:rsidRPr="00242DFB" w14:paraId="290F78BA" w14:textId="77777777" w:rsidTr="00E31526">
        <w:trPr>
          <w:trHeight w:val="112"/>
        </w:trPr>
        <w:tc>
          <w:tcPr>
            <w:tcW w:w="4186" w:type="dxa"/>
            <w:noWrap/>
            <w:hideMark/>
          </w:tcPr>
          <w:p w14:paraId="10BE170D" w14:textId="77777777" w:rsidR="0089421B" w:rsidRPr="00242DFB" w:rsidRDefault="0089421B" w:rsidP="005B2285">
            <w:pPr>
              <w:spacing w:line="360" w:lineRule="auto"/>
              <w:rPr>
                <w:rFonts w:ascii="Arial" w:hAnsi="Arial" w:cs="Arial"/>
                <w:sz w:val="22"/>
                <w:szCs w:val="22"/>
                <w:lang w:eastAsia="es-CO"/>
              </w:rPr>
            </w:pPr>
            <w:r w:rsidRPr="00242DFB">
              <w:rPr>
                <w:rFonts w:ascii="Arial" w:hAnsi="Arial" w:cs="Arial"/>
                <w:sz w:val="22"/>
                <w:szCs w:val="22"/>
                <w:lang w:eastAsia="es-CO"/>
              </w:rPr>
              <w:t>Régimen Subsidiado</w:t>
            </w:r>
          </w:p>
        </w:tc>
        <w:tc>
          <w:tcPr>
            <w:tcW w:w="1833" w:type="dxa"/>
            <w:noWrap/>
          </w:tcPr>
          <w:p w14:paraId="6786F91B" w14:textId="77777777" w:rsidR="0089421B" w:rsidRPr="00242DFB" w:rsidRDefault="0089421B" w:rsidP="005B2285">
            <w:pPr>
              <w:spacing w:line="360" w:lineRule="auto"/>
              <w:jc w:val="right"/>
              <w:rPr>
                <w:rFonts w:ascii="Arial" w:hAnsi="Arial" w:cs="Arial"/>
                <w:sz w:val="22"/>
                <w:szCs w:val="22"/>
                <w:lang w:eastAsia="es-CO"/>
              </w:rPr>
            </w:pPr>
            <w:r w:rsidRPr="00242DFB">
              <w:rPr>
                <w:rFonts w:ascii="Arial" w:hAnsi="Arial" w:cs="Arial"/>
                <w:sz w:val="22"/>
                <w:szCs w:val="22"/>
                <w:lang w:eastAsia="es-CO"/>
              </w:rPr>
              <w:t>1.744.899</w:t>
            </w:r>
          </w:p>
        </w:tc>
        <w:tc>
          <w:tcPr>
            <w:tcW w:w="3142" w:type="dxa"/>
            <w:noWrap/>
          </w:tcPr>
          <w:p w14:paraId="400F612B" w14:textId="1122F624" w:rsidR="0089421B" w:rsidRPr="00242DFB" w:rsidRDefault="0089421B" w:rsidP="005B2285">
            <w:pPr>
              <w:spacing w:line="360" w:lineRule="auto"/>
              <w:jc w:val="right"/>
              <w:rPr>
                <w:rFonts w:ascii="Arial" w:hAnsi="Arial" w:cs="Arial"/>
                <w:sz w:val="22"/>
                <w:szCs w:val="22"/>
                <w:lang w:eastAsia="es-CO"/>
              </w:rPr>
            </w:pPr>
            <w:r w:rsidRPr="00242DFB">
              <w:rPr>
                <w:rFonts w:ascii="Arial" w:hAnsi="Arial" w:cs="Arial"/>
                <w:sz w:val="22"/>
                <w:szCs w:val="22"/>
                <w:lang w:eastAsia="es-CO"/>
              </w:rPr>
              <w:t>2</w:t>
            </w:r>
            <w:r w:rsidR="004E3E9C">
              <w:rPr>
                <w:rFonts w:ascii="Arial" w:hAnsi="Arial" w:cs="Arial"/>
                <w:sz w:val="22"/>
                <w:szCs w:val="22"/>
                <w:lang w:eastAsia="es-CO"/>
              </w:rPr>
              <w:t>1</w:t>
            </w:r>
            <w:r w:rsidRPr="00242DFB">
              <w:rPr>
                <w:rFonts w:ascii="Arial" w:hAnsi="Arial" w:cs="Arial"/>
                <w:sz w:val="22"/>
                <w:szCs w:val="22"/>
                <w:lang w:eastAsia="es-CO"/>
              </w:rPr>
              <w:t>,</w:t>
            </w:r>
            <w:r w:rsidR="004E3E9C">
              <w:rPr>
                <w:rFonts w:ascii="Arial" w:hAnsi="Arial" w:cs="Arial"/>
                <w:sz w:val="22"/>
                <w:szCs w:val="22"/>
                <w:lang w:eastAsia="es-CO"/>
              </w:rPr>
              <w:t>75</w:t>
            </w:r>
            <w:r w:rsidRPr="00242DFB">
              <w:rPr>
                <w:rFonts w:ascii="Arial" w:hAnsi="Arial" w:cs="Arial"/>
                <w:sz w:val="22"/>
                <w:szCs w:val="22"/>
                <w:lang w:eastAsia="es-CO"/>
              </w:rPr>
              <w:t>%</w:t>
            </w:r>
          </w:p>
        </w:tc>
      </w:tr>
      <w:tr w:rsidR="0089421B" w:rsidRPr="00242DFB" w14:paraId="4FB9858B" w14:textId="77777777" w:rsidTr="00E31526">
        <w:trPr>
          <w:trHeight w:val="67"/>
        </w:trPr>
        <w:tc>
          <w:tcPr>
            <w:tcW w:w="4186" w:type="dxa"/>
            <w:noWrap/>
            <w:hideMark/>
          </w:tcPr>
          <w:p w14:paraId="519743B2" w14:textId="77777777" w:rsidR="0089421B" w:rsidRPr="00242DFB" w:rsidRDefault="0089421B" w:rsidP="005B2285">
            <w:pPr>
              <w:spacing w:line="360" w:lineRule="auto"/>
              <w:rPr>
                <w:rFonts w:ascii="Arial" w:hAnsi="Arial" w:cs="Arial"/>
                <w:sz w:val="22"/>
                <w:szCs w:val="22"/>
                <w:lang w:eastAsia="es-CO"/>
              </w:rPr>
            </w:pPr>
            <w:r w:rsidRPr="00242DFB">
              <w:rPr>
                <w:rFonts w:ascii="Arial" w:hAnsi="Arial" w:cs="Arial"/>
                <w:sz w:val="22"/>
                <w:szCs w:val="22"/>
                <w:lang w:eastAsia="es-CO"/>
              </w:rPr>
              <w:t>Regímenes de Excepción (estimado)</w:t>
            </w:r>
          </w:p>
        </w:tc>
        <w:tc>
          <w:tcPr>
            <w:tcW w:w="1833" w:type="dxa"/>
            <w:noWrap/>
          </w:tcPr>
          <w:p w14:paraId="330CF27C" w14:textId="77777777" w:rsidR="0089421B" w:rsidRPr="00242DFB" w:rsidRDefault="0089421B" w:rsidP="005B2285">
            <w:pPr>
              <w:spacing w:line="360" w:lineRule="auto"/>
              <w:jc w:val="right"/>
              <w:rPr>
                <w:rFonts w:ascii="Arial" w:hAnsi="Arial" w:cs="Arial"/>
                <w:sz w:val="22"/>
                <w:szCs w:val="22"/>
                <w:lang w:eastAsia="es-CO"/>
              </w:rPr>
            </w:pPr>
            <w:r w:rsidRPr="00242DFB">
              <w:rPr>
                <w:rFonts w:ascii="Arial" w:hAnsi="Arial" w:cs="Arial"/>
                <w:sz w:val="22"/>
                <w:szCs w:val="22"/>
                <w:lang w:eastAsia="es-CO"/>
              </w:rPr>
              <w:t>249.800</w:t>
            </w:r>
          </w:p>
        </w:tc>
        <w:tc>
          <w:tcPr>
            <w:tcW w:w="3142" w:type="dxa"/>
            <w:noWrap/>
          </w:tcPr>
          <w:p w14:paraId="12BF4B54" w14:textId="05498B9D" w:rsidR="0089421B" w:rsidRPr="00242DFB" w:rsidRDefault="0089421B" w:rsidP="005B2285">
            <w:pPr>
              <w:spacing w:line="360" w:lineRule="auto"/>
              <w:jc w:val="right"/>
              <w:rPr>
                <w:rFonts w:ascii="Arial" w:hAnsi="Arial" w:cs="Arial"/>
                <w:sz w:val="22"/>
                <w:szCs w:val="22"/>
                <w:lang w:eastAsia="es-CO"/>
              </w:rPr>
            </w:pPr>
            <w:r w:rsidRPr="00242DFB">
              <w:rPr>
                <w:rFonts w:ascii="Arial" w:hAnsi="Arial" w:cs="Arial"/>
                <w:sz w:val="22"/>
                <w:szCs w:val="22"/>
                <w:lang w:eastAsia="es-CO"/>
              </w:rPr>
              <w:t>3,1</w:t>
            </w:r>
            <w:r w:rsidR="004E3E9C">
              <w:rPr>
                <w:rFonts w:ascii="Arial" w:hAnsi="Arial" w:cs="Arial"/>
                <w:sz w:val="22"/>
                <w:szCs w:val="22"/>
                <w:lang w:eastAsia="es-CO"/>
              </w:rPr>
              <w:t>1</w:t>
            </w:r>
            <w:r w:rsidRPr="00242DFB">
              <w:rPr>
                <w:rFonts w:ascii="Arial" w:hAnsi="Arial" w:cs="Arial"/>
                <w:sz w:val="22"/>
                <w:szCs w:val="22"/>
                <w:lang w:eastAsia="es-CO"/>
              </w:rPr>
              <w:t>%</w:t>
            </w:r>
          </w:p>
        </w:tc>
      </w:tr>
      <w:tr w:rsidR="0089421B" w:rsidRPr="00242DFB" w14:paraId="1AC4A518" w14:textId="77777777" w:rsidTr="00E31526">
        <w:trPr>
          <w:trHeight w:val="59"/>
        </w:trPr>
        <w:tc>
          <w:tcPr>
            <w:tcW w:w="4186" w:type="dxa"/>
            <w:noWrap/>
            <w:hideMark/>
          </w:tcPr>
          <w:p w14:paraId="1B450FE6" w14:textId="77777777" w:rsidR="0089421B" w:rsidRPr="00242DFB" w:rsidRDefault="0089421B" w:rsidP="005B2285">
            <w:pPr>
              <w:spacing w:line="360" w:lineRule="auto"/>
              <w:rPr>
                <w:rFonts w:ascii="Arial" w:hAnsi="Arial" w:cs="Arial"/>
                <w:b/>
                <w:bCs/>
                <w:sz w:val="22"/>
                <w:szCs w:val="22"/>
                <w:lang w:eastAsia="es-CO"/>
              </w:rPr>
            </w:pPr>
            <w:r w:rsidRPr="00242DFB">
              <w:rPr>
                <w:rFonts w:ascii="Arial" w:hAnsi="Arial" w:cs="Arial"/>
                <w:b/>
                <w:bCs/>
                <w:sz w:val="22"/>
                <w:szCs w:val="22"/>
                <w:lang w:eastAsia="es-CO"/>
              </w:rPr>
              <w:t>Total, de afiliados</w:t>
            </w:r>
          </w:p>
        </w:tc>
        <w:tc>
          <w:tcPr>
            <w:tcW w:w="1833" w:type="dxa"/>
            <w:noWrap/>
          </w:tcPr>
          <w:p w14:paraId="437F9B55" w14:textId="77777777" w:rsidR="0089421B" w:rsidRPr="00242DFB" w:rsidRDefault="0089421B" w:rsidP="005B2285">
            <w:pPr>
              <w:spacing w:line="360" w:lineRule="auto"/>
              <w:jc w:val="right"/>
              <w:rPr>
                <w:rFonts w:ascii="Arial" w:hAnsi="Arial" w:cs="Arial"/>
                <w:b/>
                <w:bCs/>
                <w:sz w:val="22"/>
                <w:szCs w:val="22"/>
                <w:lang w:eastAsia="es-CO"/>
              </w:rPr>
            </w:pPr>
            <w:r w:rsidRPr="00242DFB">
              <w:rPr>
                <w:rFonts w:ascii="Arial" w:hAnsi="Arial" w:cs="Arial"/>
                <w:b/>
                <w:bCs/>
                <w:sz w:val="22"/>
                <w:szCs w:val="22"/>
                <w:lang w:eastAsia="es-CO"/>
              </w:rPr>
              <w:t>8.021.580</w:t>
            </w:r>
            <w:r w:rsidRPr="00242DFB">
              <w:rPr>
                <w:rStyle w:val="Refdenotaalpie"/>
                <w:rFonts w:ascii="Arial" w:hAnsi="Arial" w:cs="Arial"/>
                <w:b/>
                <w:bCs/>
                <w:sz w:val="22"/>
                <w:szCs w:val="22"/>
                <w:lang w:eastAsia="es-CO"/>
              </w:rPr>
              <w:footnoteReference w:id="3"/>
            </w:r>
          </w:p>
        </w:tc>
        <w:tc>
          <w:tcPr>
            <w:tcW w:w="3142" w:type="dxa"/>
            <w:noWrap/>
          </w:tcPr>
          <w:p w14:paraId="1176EF3D" w14:textId="77777777" w:rsidR="0089421B" w:rsidRPr="00242DFB" w:rsidRDefault="0089421B" w:rsidP="005B2285">
            <w:pPr>
              <w:spacing w:line="360" w:lineRule="auto"/>
              <w:jc w:val="right"/>
              <w:rPr>
                <w:rFonts w:ascii="Arial" w:hAnsi="Arial" w:cs="Arial"/>
                <w:b/>
                <w:bCs/>
                <w:sz w:val="22"/>
                <w:szCs w:val="22"/>
                <w:lang w:eastAsia="es-CO"/>
              </w:rPr>
            </w:pPr>
            <w:r w:rsidRPr="00242DFB">
              <w:rPr>
                <w:rFonts w:ascii="Arial" w:hAnsi="Arial" w:cs="Arial"/>
                <w:b/>
                <w:bCs/>
                <w:sz w:val="22"/>
                <w:szCs w:val="22"/>
                <w:lang w:eastAsia="es-CO"/>
              </w:rPr>
              <w:t>100%</w:t>
            </w:r>
          </w:p>
        </w:tc>
      </w:tr>
    </w:tbl>
    <w:p w14:paraId="04FE4A76" w14:textId="77777777" w:rsidR="0089421B" w:rsidRPr="00242DFB" w:rsidRDefault="0089421B" w:rsidP="005B2285">
      <w:pPr>
        <w:spacing w:line="360" w:lineRule="auto"/>
        <w:jc w:val="both"/>
        <w:rPr>
          <w:rFonts w:ascii="Arial" w:hAnsi="Arial" w:cs="Arial"/>
          <w:sz w:val="16"/>
          <w:szCs w:val="16"/>
        </w:rPr>
      </w:pPr>
      <w:r w:rsidRPr="00242DFB">
        <w:rPr>
          <w:rFonts w:ascii="Arial" w:eastAsia="Arial" w:hAnsi="Arial" w:cs="Arial"/>
          <w:sz w:val="16"/>
          <w:szCs w:val="16"/>
        </w:rPr>
        <w:t xml:space="preserve">Fuente:  </w:t>
      </w:r>
      <w:r w:rsidRPr="00242DFB">
        <w:rPr>
          <w:rFonts w:ascii="Arial" w:hAnsi="Arial" w:cs="Arial"/>
          <w:sz w:val="16"/>
          <w:szCs w:val="16"/>
        </w:rPr>
        <w:t>* Contributivo BDUA - ADRES, corte a 31 de diciembre de 2025.  * Subsidiado BDUA - ADRES, corte a 31 de diciembre de 2025. * Proyección censo DANE, actualización post Covid-19. * Reporte EAPB exceptuadas, diciembre 2025</w:t>
      </w:r>
    </w:p>
    <w:p w14:paraId="2A7B41F2" w14:textId="77777777" w:rsidR="0089421B" w:rsidRPr="00242DFB" w:rsidRDefault="0089421B" w:rsidP="005B2285">
      <w:pPr>
        <w:spacing w:line="360" w:lineRule="auto"/>
        <w:jc w:val="both"/>
        <w:rPr>
          <w:rFonts w:ascii="Arial" w:eastAsia="Arial" w:hAnsi="Arial" w:cs="Arial"/>
          <w:sz w:val="22"/>
          <w:szCs w:val="22"/>
        </w:rPr>
      </w:pPr>
    </w:p>
    <w:p w14:paraId="69E9BD84" w14:textId="6C1F3BB4"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El aseguramiento en Bogotá se concentra principalmente en el régimen contributivo; sin embargo, la población afiliada a Capital Salud EPS-S presenta un perfil predominantemente subsidiado. En la tabla </w:t>
      </w:r>
      <w:r w:rsidR="001852E0">
        <w:rPr>
          <w:rFonts w:ascii="Arial" w:eastAsia="Arial" w:hAnsi="Arial" w:cs="Arial"/>
          <w:color w:val="000000"/>
        </w:rPr>
        <w:t>2,</w:t>
      </w:r>
      <w:r w:rsidRPr="00242DFB">
        <w:rPr>
          <w:rFonts w:ascii="Arial" w:eastAsia="Arial" w:hAnsi="Arial" w:cs="Arial"/>
          <w:color w:val="000000"/>
        </w:rPr>
        <w:t xml:space="preserve"> se presenta la distribución de los afiliados de Capital Salud EPS-S en Bogotá, por régimen, para la vigencia 2025, con base en la información BDUA-ADRES utilizada en el presente informe.</w:t>
      </w:r>
    </w:p>
    <w:p w14:paraId="0FAE5DB9" w14:textId="5EF67EC4" w:rsidR="009F762E" w:rsidRPr="00242DFB" w:rsidRDefault="00000000" w:rsidP="005B2285">
      <w:pPr>
        <w:pStyle w:val="Descripcin"/>
        <w:keepNext/>
        <w:spacing w:after="0" w:line="360" w:lineRule="auto"/>
        <w:jc w:val="center"/>
        <w:rPr>
          <w:rFonts w:ascii="Arial" w:hAnsi="Arial" w:cs="Arial"/>
          <w:color w:val="000000" w:themeColor="text1"/>
          <w:sz w:val="24"/>
          <w:szCs w:val="24"/>
        </w:rPr>
      </w:pPr>
      <w:r w:rsidRPr="00242DFB">
        <w:rPr>
          <w:rFonts w:ascii="Arial" w:hAnsi="Arial" w:cs="Arial"/>
          <w:color w:val="000000"/>
          <w:sz w:val="24"/>
          <w:szCs w:val="24"/>
        </w:rPr>
        <w:t xml:space="preserve"> </w:t>
      </w:r>
    </w:p>
    <w:p w14:paraId="53B3B9F6" w14:textId="2FCC4CCE" w:rsidR="0089421B" w:rsidRPr="00242DFB" w:rsidRDefault="0089421B" w:rsidP="005B2285">
      <w:pPr>
        <w:pStyle w:val="Descripcin"/>
        <w:keepNext/>
        <w:spacing w:after="0"/>
        <w:jc w:val="center"/>
        <w:rPr>
          <w:rFonts w:ascii="Arial" w:hAnsi="Arial" w:cs="Arial"/>
          <w:color w:val="auto"/>
          <w:sz w:val="24"/>
          <w:szCs w:val="24"/>
        </w:rPr>
      </w:pPr>
      <w:bookmarkStart w:id="13" w:name="_Toc233574862"/>
      <w:r w:rsidRPr="00242DFB">
        <w:rPr>
          <w:rFonts w:ascii="Arial" w:hAnsi="Arial" w:cs="Arial"/>
          <w:color w:val="auto"/>
          <w:sz w:val="24"/>
          <w:szCs w:val="24"/>
        </w:rPr>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2</w:t>
      </w:r>
      <w:r w:rsidRPr="00242DFB">
        <w:rPr>
          <w:rFonts w:ascii="Arial" w:hAnsi="Arial" w:cs="Arial"/>
          <w:color w:val="auto"/>
          <w:sz w:val="24"/>
          <w:szCs w:val="24"/>
        </w:rPr>
        <w:fldChar w:fldCharType="end"/>
      </w:r>
      <w:r w:rsidRPr="00242DFB">
        <w:rPr>
          <w:rFonts w:ascii="Arial" w:hAnsi="Arial" w:cs="Arial"/>
          <w:color w:val="auto"/>
          <w:sz w:val="24"/>
          <w:szCs w:val="24"/>
        </w:rPr>
        <w:t>. Distribución de afiliados de Capital Salud EPS-S en Bogotá por régimen, 2025</w:t>
      </w:r>
      <w:bookmarkEnd w:id="13"/>
    </w:p>
    <w:tbl>
      <w:tblPr>
        <w:tblW w:w="8238" w:type="dxa"/>
        <w:jc w:val="center"/>
        <w:tblLayout w:type="fixed"/>
        <w:tblCellMar>
          <w:top w:w="15" w:type="dxa"/>
          <w:left w:w="15" w:type="dxa"/>
          <w:right w:w="15" w:type="dxa"/>
        </w:tblCellMar>
        <w:tblLook w:val="06A0" w:firstRow="1" w:lastRow="0" w:firstColumn="1" w:lastColumn="0" w:noHBand="1" w:noVBand="1"/>
      </w:tblPr>
      <w:tblGrid>
        <w:gridCol w:w="3700"/>
        <w:gridCol w:w="1635"/>
        <w:gridCol w:w="2903"/>
      </w:tblGrid>
      <w:tr w:rsidR="009F762E" w:rsidRPr="00242DFB" w14:paraId="11AD0B6A" w14:textId="77777777" w:rsidTr="00487B6D">
        <w:trPr>
          <w:cantSplit/>
          <w:trHeight w:val="384"/>
          <w:jc w:val="center"/>
        </w:trPr>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4E45B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Afiliados Capital Salud EPS-S por régimen</w:t>
            </w:r>
          </w:p>
        </w:tc>
        <w:tc>
          <w:tcPr>
            <w:tcW w:w="163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8D57091"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Cantidad</w:t>
            </w:r>
          </w:p>
        </w:tc>
        <w:tc>
          <w:tcPr>
            <w:tcW w:w="290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4C6AE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 sobre total Capital Salud EPS-S Bogotá</w:t>
            </w:r>
          </w:p>
        </w:tc>
      </w:tr>
      <w:tr w:rsidR="009F762E" w:rsidRPr="00242DFB" w14:paraId="7B86234D" w14:textId="77777777" w:rsidTr="00487B6D">
        <w:trPr>
          <w:cantSplit/>
          <w:trHeight w:val="31"/>
          <w:jc w:val="center"/>
        </w:trPr>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9B9489"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Régimen Contributivo</w:t>
            </w:r>
          </w:p>
        </w:tc>
        <w:tc>
          <w:tcPr>
            <w:tcW w:w="163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9E1A00"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61.961</w:t>
            </w:r>
          </w:p>
        </w:tc>
        <w:tc>
          <w:tcPr>
            <w:tcW w:w="290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581764"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6,88%</w:t>
            </w:r>
          </w:p>
        </w:tc>
      </w:tr>
      <w:tr w:rsidR="009F762E" w:rsidRPr="00242DFB" w14:paraId="5D95866E" w14:textId="77777777" w:rsidTr="00487B6D">
        <w:trPr>
          <w:cantSplit/>
          <w:trHeight w:val="31"/>
          <w:jc w:val="center"/>
        </w:trPr>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4054837"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Régimen Subsidiado</w:t>
            </w:r>
          </w:p>
        </w:tc>
        <w:tc>
          <w:tcPr>
            <w:tcW w:w="163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9B060F0"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838.191</w:t>
            </w:r>
          </w:p>
        </w:tc>
        <w:tc>
          <w:tcPr>
            <w:tcW w:w="290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E83B3CD"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93,12%</w:t>
            </w:r>
          </w:p>
        </w:tc>
      </w:tr>
      <w:tr w:rsidR="009F762E" w:rsidRPr="00242DFB" w14:paraId="03D1A807" w14:textId="77777777" w:rsidTr="00487B6D">
        <w:trPr>
          <w:cantSplit/>
          <w:trHeight w:val="31"/>
          <w:jc w:val="center"/>
        </w:trPr>
        <w:tc>
          <w:tcPr>
            <w:tcW w:w="370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C530453" w14:textId="184E7EDB" w:rsidR="009F762E" w:rsidRPr="00242DFB" w:rsidRDefault="00487B6D" w:rsidP="005B2285">
            <w:pPr>
              <w:spacing w:line="360" w:lineRule="auto"/>
              <w:rPr>
                <w:rFonts w:ascii="Arial" w:hAnsi="Arial" w:cs="Arial"/>
                <w:color w:val="000000" w:themeColor="text1"/>
              </w:rPr>
            </w:pPr>
            <w:r w:rsidRPr="00242DFB">
              <w:rPr>
                <w:rFonts w:ascii="Arial" w:eastAsia="Arial" w:hAnsi="Arial" w:cs="Arial"/>
                <w:b/>
                <w:bCs/>
                <w:color w:val="000000" w:themeColor="text1"/>
              </w:rPr>
              <w:t>Total,</w:t>
            </w:r>
            <w:r w:rsidR="00000000" w:rsidRPr="00242DFB">
              <w:rPr>
                <w:rFonts w:ascii="Arial" w:eastAsia="Arial" w:hAnsi="Arial" w:cs="Arial"/>
                <w:b/>
                <w:bCs/>
                <w:color w:val="000000" w:themeColor="text1"/>
              </w:rPr>
              <w:t xml:space="preserve"> afiliados Capital Salud EPS-S Bogotá</w:t>
            </w:r>
          </w:p>
        </w:tc>
        <w:tc>
          <w:tcPr>
            <w:tcW w:w="163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D9C03E"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b/>
                <w:bCs/>
                <w:color w:val="000000" w:themeColor="text1"/>
              </w:rPr>
              <w:t>900.152</w:t>
            </w:r>
          </w:p>
        </w:tc>
        <w:tc>
          <w:tcPr>
            <w:tcW w:w="290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7B0C710"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b/>
                <w:bCs/>
                <w:color w:val="000000" w:themeColor="text1"/>
              </w:rPr>
              <w:t>100%</w:t>
            </w:r>
          </w:p>
        </w:tc>
      </w:tr>
    </w:tbl>
    <w:p w14:paraId="1D27C7A6" w14:textId="156FB768" w:rsidR="009F762E" w:rsidRPr="00242DFB" w:rsidRDefault="00000000" w:rsidP="005B2285">
      <w:pPr>
        <w:spacing w:line="360" w:lineRule="auto"/>
        <w:jc w:val="both"/>
        <w:rPr>
          <w:rFonts w:ascii="Arial" w:hAnsi="Arial" w:cs="Arial"/>
          <w:color w:val="000000" w:themeColor="text1"/>
          <w:sz w:val="16"/>
          <w:szCs w:val="16"/>
        </w:rPr>
      </w:pPr>
      <w:r w:rsidRPr="00242DFB">
        <w:rPr>
          <w:rFonts w:ascii="Arial" w:hAnsi="Arial" w:cs="Arial"/>
          <w:color w:val="000000"/>
          <w:sz w:val="16"/>
          <w:szCs w:val="16"/>
        </w:rPr>
        <w:t>Fuente: * Contributivo BDUA - ADRES, corte a 31 de diciembre de 2025. * Subsidiado BDUA - ADRES, corte a 31 de diciembre de 2025. * Proyección censo DANE, actualización post COVID-19. * Reporte EAPB exceptuadas, diciembre 2025</w:t>
      </w:r>
    </w:p>
    <w:p w14:paraId="1A22DA23" w14:textId="77777777" w:rsidR="009F762E" w:rsidRPr="00242DFB" w:rsidRDefault="009F762E" w:rsidP="005B2285">
      <w:pPr>
        <w:spacing w:line="360" w:lineRule="auto"/>
        <w:rPr>
          <w:rFonts w:ascii="Arial" w:hAnsi="Arial" w:cs="Arial"/>
          <w:color w:val="000000" w:themeColor="text1"/>
        </w:rPr>
      </w:pPr>
    </w:p>
    <w:p w14:paraId="46173859" w14:textId="74E7B72D"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lastRenderedPageBreak/>
        <w:t xml:space="preserve">Los afiliados de Capital Salud EPS-S en Bogotá representan el 11,3% del total, ubicándose como la quinta EPS en la ciudad, después de Sanitas, Compensar, Famisanar y Salud Total. En la tabla </w:t>
      </w:r>
      <w:r w:rsidR="003F26EC">
        <w:rPr>
          <w:rFonts w:ascii="Arial" w:eastAsia="Arial" w:hAnsi="Arial" w:cs="Arial"/>
          <w:color w:val="000000"/>
        </w:rPr>
        <w:t>3</w:t>
      </w:r>
      <w:r w:rsidRPr="00242DFB">
        <w:rPr>
          <w:rFonts w:ascii="Arial" w:eastAsia="Arial" w:hAnsi="Arial" w:cs="Arial"/>
          <w:color w:val="000000"/>
        </w:rPr>
        <w:t>, se puede ver la relación del número de afiliados en Bogotá discriminado por EPS en 2025.</w:t>
      </w:r>
    </w:p>
    <w:p w14:paraId="494468EF" w14:textId="3285B46B" w:rsidR="009F762E" w:rsidRPr="00242DFB" w:rsidRDefault="009F762E" w:rsidP="005B2285">
      <w:pPr>
        <w:pStyle w:val="Descripcin"/>
        <w:spacing w:after="0" w:line="360" w:lineRule="auto"/>
        <w:jc w:val="center"/>
        <w:rPr>
          <w:rFonts w:ascii="Arial" w:hAnsi="Arial" w:cs="Arial"/>
          <w:color w:val="000000" w:themeColor="text1"/>
          <w:sz w:val="24"/>
          <w:szCs w:val="24"/>
        </w:rPr>
      </w:pPr>
    </w:p>
    <w:p w14:paraId="2BB58CD8" w14:textId="15D0CB00" w:rsidR="00C0747A" w:rsidRDefault="00C0747A" w:rsidP="005B2285">
      <w:pPr>
        <w:pStyle w:val="Descripcin"/>
        <w:keepNext/>
        <w:spacing w:after="0"/>
        <w:jc w:val="center"/>
        <w:rPr>
          <w:rFonts w:ascii="Arial" w:hAnsi="Arial" w:cs="Arial"/>
          <w:color w:val="auto"/>
          <w:sz w:val="24"/>
          <w:szCs w:val="24"/>
        </w:rPr>
      </w:pPr>
      <w:bookmarkStart w:id="14" w:name="_Toc233574863"/>
      <w:r w:rsidRPr="00242DFB">
        <w:rPr>
          <w:rFonts w:ascii="Arial" w:hAnsi="Arial" w:cs="Arial"/>
          <w:color w:val="auto"/>
          <w:sz w:val="24"/>
          <w:szCs w:val="24"/>
        </w:rPr>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3</w:t>
      </w:r>
      <w:r w:rsidRPr="00242DFB">
        <w:rPr>
          <w:rFonts w:ascii="Arial" w:hAnsi="Arial" w:cs="Arial"/>
          <w:color w:val="auto"/>
          <w:sz w:val="24"/>
          <w:szCs w:val="24"/>
        </w:rPr>
        <w:fldChar w:fldCharType="end"/>
      </w:r>
      <w:r w:rsidRPr="00242DFB">
        <w:rPr>
          <w:rFonts w:ascii="Arial" w:hAnsi="Arial" w:cs="Arial"/>
          <w:color w:val="auto"/>
          <w:sz w:val="24"/>
          <w:szCs w:val="24"/>
        </w:rPr>
        <w:t>.  Afiliados en Bogotá por EPS, 2025</w:t>
      </w:r>
      <w:bookmarkEnd w:id="14"/>
    </w:p>
    <w:p w14:paraId="137CAE34" w14:textId="77777777" w:rsidR="00BD4E7B" w:rsidRPr="00BD4E7B" w:rsidRDefault="00BD4E7B" w:rsidP="005B2285"/>
    <w:tbl>
      <w:tblPr>
        <w:tblW w:w="9688" w:type="dxa"/>
        <w:jc w:val="center"/>
        <w:tblLayout w:type="fixed"/>
        <w:tblCellMar>
          <w:top w:w="15" w:type="dxa"/>
          <w:left w:w="15" w:type="dxa"/>
          <w:right w:w="15" w:type="dxa"/>
        </w:tblCellMar>
        <w:tblLook w:val="06A0" w:firstRow="1" w:lastRow="0" w:firstColumn="1" w:lastColumn="0" w:noHBand="1" w:noVBand="1"/>
      </w:tblPr>
      <w:tblGrid>
        <w:gridCol w:w="1833"/>
        <w:gridCol w:w="1581"/>
        <w:gridCol w:w="1447"/>
        <w:gridCol w:w="1448"/>
        <w:gridCol w:w="1317"/>
        <w:gridCol w:w="1091"/>
        <w:gridCol w:w="971"/>
      </w:tblGrid>
      <w:tr w:rsidR="009F762E" w:rsidRPr="00242DFB" w14:paraId="36CE967A" w14:textId="77777777" w:rsidTr="00C0747A">
        <w:trPr>
          <w:cantSplit/>
          <w:trHeight w:val="391"/>
          <w:tblHeader/>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607A7F1A"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Nombre entidad</w:t>
            </w:r>
          </w:p>
        </w:tc>
        <w:tc>
          <w:tcPr>
            <w:tcW w:w="1581" w:type="dxa"/>
            <w:tcBorders>
              <w:top w:val="single" w:sz="8" w:space="0" w:color="000000"/>
              <w:left w:val="single" w:sz="8" w:space="0" w:color="000000"/>
              <w:bottom w:val="single" w:sz="8" w:space="0" w:color="000000"/>
              <w:right w:val="single" w:sz="8" w:space="0" w:color="000000"/>
            </w:tcBorders>
            <w:vAlign w:val="center"/>
          </w:tcPr>
          <w:p w14:paraId="566ADFF6" w14:textId="03479C1A"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Contributivos afiliados</w:t>
            </w:r>
          </w:p>
        </w:tc>
        <w:tc>
          <w:tcPr>
            <w:tcW w:w="1447" w:type="dxa"/>
            <w:tcBorders>
              <w:top w:val="single" w:sz="8" w:space="0" w:color="000000"/>
              <w:left w:val="single" w:sz="8" w:space="0" w:color="000000"/>
              <w:bottom w:val="single" w:sz="8" w:space="0" w:color="000000"/>
              <w:right w:val="single" w:sz="8" w:space="0" w:color="000000"/>
            </w:tcBorders>
            <w:vAlign w:val="center"/>
          </w:tcPr>
          <w:p w14:paraId="5D1EC033" w14:textId="6D3C35A2"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 Contributivo</w:t>
            </w:r>
          </w:p>
        </w:tc>
        <w:tc>
          <w:tcPr>
            <w:tcW w:w="1448" w:type="dxa"/>
            <w:tcBorders>
              <w:top w:val="single" w:sz="8" w:space="0" w:color="000000"/>
              <w:left w:val="single" w:sz="8" w:space="0" w:color="000000"/>
              <w:bottom w:val="single" w:sz="8" w:space="0" w:color="000000"/>
              <w:right w:val="single" w:sz="8" w:space="0" w:color="000000"/>
            </w:tcBorders>
            <w:vAlign w:val="center"/>
          </w:tcPr>
          <w:p w14:paraId="7FC04A93" w14:textId="41009B8E"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Subsidiados afiliados</w:t>
            </w:r>
          </w:p>
        </w:tc>
        <w:tc>
          <w:tcPr>
            <w:tcW w:w="1317" w:type="dxa"/>
            <w:tcBorders>
              <w:top w:val="single" w:sz="8" w:space="0" w:color="000000"/>
              <w:left w:val="single" w:sz="8" w:space="0" w:color="000000"/>
              <w:bottom w:val="single" w:sz="8" w:space="0" w:color="000000"/>
              <w:right w:val="single" w:sz="8" w:space="0" w:color="000000"/>
            </w:tcBorders>
            <w:vAlign w:val="center"/>
          </w:tcPr>
          <w:p w14:paraId="0EF9F8BE"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 Subsidiado</w:t>
            </w:r>
          </w:p>
        </w:tc>
        <w:tc>
          <w:tcPr>
            <w:tcW w:w="1091" w:type="dxa"/>
            <w:tcBorders>
              <w:top w:val="single" w:sz="8" w:space="0" w:color="000000"/>
              <w:left w:val="single" w:sz="8" w:space="0" w:color="000000"/>
              <w:bottom w:val="single" w:sz="8" w:space="0" w:color="000000"/>
              <w:right w:val="single" w:sz="8" w:space="0" w:color="000000"/>
            </w:tcBorders>
            <w:vAlign w:val="center"/>
          </w:tcPr>
          <w:p w14:paraId="26C856EF" w14:textId="264F4E6C"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Total, afiliados</w:t>
            </w:r>
          </w:p>
        </w:tc>
        <w:tc>
          <w:tcPr>
            <w:tcW w:w="971" w:type="dxa"/>
            <w:tcBorders>
              <w:top w:val="single" w:sz="8" w:space="0" w:color="000000"/>
              <w:left w:val="single" w:sz="8" w:space="0" w:color="000000"/>
              <w:bottom w:val="single" w:sz="8" w:space="0" w:color="000000"/>
              <w:right w:val="single" w:sz="8" w:space="0" w:color="000000"/>
            </w:tcBorders>
            <w:vAlign w:val="center"/>
          </w:tcPr>
          <w:p w14:paraId="6EBBD45B"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Total %</w:t>
            </w:r>
          </w:p>
        </w:tc>
      </w:tr>
      <w:tr w:rsidR="009F762E" w:rsidRPr="00242DFB" w14:paraId="003417C6" w14:textId="77777777" w:rsidTr="00C0747A">
        <w:trPr>
          <w:cantSplit/>
          <w:trHeight w:val="210"/>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2E6FA40F" w14:textId="77777777" w:rsidR="009F762E" w:rsidRPr="00242DFB" w:rsidRDefault="00000000" w:rsidP="005B2285">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EPS Sanitas</w:t>
            </w:r>
          </w:p>
        </w:tc>
        <w:tc>
          <w:tcPr>
            <w:tcW w:w="1581" w:type="dxa"/>
            <w:tcBorders>
              <w:top w:val="single" w:sz="8" w:space="0" w:color="000000"/>
              <w:left w:val="single" w:sz="8" w:space="0" w:color="000000"/>
              <w:bottom w:val="single" w:sz="8" w:space="0" w:color="000000"/>
              <w:right w:val="single" w:sz="8" w:space="0" w:color="000000"/>
            </w:tcBorders>
            <w:vAlign w:val="center"/>
          </w:tcPr>
          <w:p w14:paraId="0BF58FD8"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1.617.010</w:t>
            </w:r>
          </w:p>
        </w:tc>
        <w:tc>
          <w:tcPr>
            <w:tcW w:w="1447" w:type="dxa"/>
            <w:tcBorders>
              <w:top w:val="single" w:sz="8" w:space="0" w:color="000000"/>
              <w:left w:val="single" w:sz="8" w:space="0" w:color="000000"/>
              <w:bottom w:val="single" w:sz="8" w:space="0" w:color="000000"/>
              <w:right w:val="single" w:sz="8" w:space="0" w:color="000000"/>
            </w:tcBorders>
            <w:vAlign w:val="center"/>
          </w:tcPr>
          <w:p w14:paraId="669C1461"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26,83%</w:t>
            </w:r>
          </w:p>
        </w:tc>
        <w:tc>
          <w:tcPr>
            <w:tcW w:w="1448" w:type="dxa"/>
            <w:tcBorders>
              <w:top w:val="single" w:sz="8" w:space="0" w:color="000000"/>
              <w:left w:val="single" w:sz="8" w:space="0" w:color="000000"/>
              <w:bottom w:val="single" w:sz="8" w:space="0" w:color="000000"/>
              <w:right w:val="single" w:sz="8" w:space="0" w:color="000000"/>
            </w:tcBorders>
            <w:vAlign w:val="center"/>
          </w:tcPr>
          <w:p w14:paraId="0CC6AEF3"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137.504</w:t>
            </w:r>
          </w:p>
        </w:tc>
        <w:tc>
          <w:tcPr>
            <w:tcW w:w="1317" w:type="dxa"/>
            <w:tcBorders>
              <w:top w:val="single" w:sz="8" w:space="0" w:color="000000"/>
              <w:left w:val="single" w:sz="8" w:space="0" w:color="000000"/>
              <w:bottom w:val="single" w:sz="8" w:space="0" w:color="000000"/>
              <w:right w:val="single" w:sz="8" w:space="0" w:color="000000"/>
            </w:tcBorders>
            <w:vAlign w:val="center"/>
          </w:tcPr>
          <w:p w14:paraId="3D324E5C"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7,88%</w:t>
            </w:r>
          </w:p>
        </w:tc>
        <w:tc>
          <w:tcPr>
            <w:tcW w:w="1091" w:type="dxa"/>
            <w:tcBorders>
              <w:top w:val="single" w:sz="8" w:space="0" w:color="000000"/>
              <w:left w:val="single" w:sz="8" w:space="0" w:color="000000"/>
              <w:bottom w:val="single" w:sz="8" w:space="0" w:color="000000"/>
              <w:right w:val="single" w:sz="8" w:space="0" w:color="000000"/>
            </w:tcBorders>
            <w:vAlign w:val="center"/>
          </w:tcPr>
          <w:p w14:paraId="4DF4EE19"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1.754.514</w:t>
            </w:r>
          </w:p>
        </w:tc>
        <w:tc>
          <w:tcPr>
            <w:tcW w:w="971" w:type="dxa"/>
            <w:tcBorders>
              <w:top w:val="single" w:sz="8" w:space="0" w:color="000000"/>
              <w:left w:val="single" w:sz="8" w:space="0" w:color="000000"/>
              <w:bottom w:val="single" w:sz="8" w:space="0" w:color="000000"/>
              <w:right w:val="single" w:sz="8" w:space="0" w:color="000000"/>
            </w:tcBorders>
            <w:vAlign w:val="center"/>
          </w:tcPr>
          <w:p w14:paraId="485F0448"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22,17%</w:t>
            </w:r>
          </w:p>
        </w:tc>
      </w:tr>
      <w:tr w:rsidR="009F762E" w:rsidRPr="00242DFB" w14:paraId="3F4F8070" w14:textId="77777777" w:rsidTr="00C0747A">
        <w:trPr>
          <w:cantSplit/>
          <w:trHeight w:val="90"/>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6980C3B2" w14:textId="77777777" w:rsidR="009F762E" w:rsidRPr="00242DFB" w:rsidRDefault="00000000" w:rsidP="005B2285">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Compensar EPS</w:t>
            </w:r>
          </w:p>
        </w:tc>
        <w:tc>
          <w:tcPr>
            <w:tcW w:w="1581" w:type="dxa"/>
            <w:tcBorders>
              <w:top w:val="single" w:sz="8" w:space="0" w:color="000000"/>
              <w:left w:val="single" w:sz="8" w:space="0" w:color="000000"/>
              <w:bottom w:val="single" w:sz="8" w:space="0" w:color="000000"/>
              <w:right w:val="single" w:sz="8" w:space="0" w:color="000000"/>
            </w:tcBorders>
            <w:vAlign w:val="center"/>
          </w:tcPr>
          <w:p w14:paraId="0BE0696C"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1.323.010</w:t>
            </w:r>
          </w:p>
        </w:tc>
        <w:tc>
          <w:tcPr>
            <w:tcW w:w="1447" w:type="dxa"/>
            <w:tcBorders>
              <w:top w:val="single" w:sz="8" w:space="0" w:color="000000"/>
              <w:left w:val="single" w:sz="8" w:space="0" w:color="000000"/>
              <w:bottom w:val="single" w:sz="8" w:space="0" w:color="000000"/>
              <w:right w:val="single" w:sz="8" w:space="0" w:color="000000"/>
            </w:tcBorders>
            <w:vAlign w:val="center"/>
          </w:tcPr>
          <w:p w14:paraId="3B39095C"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21,95%</w:t>
            </w:r>
          </w:p>
        </w:tc>
        <w:tc>
          <w:tcPr>
            <w:tcW w:w="1448" w:type="dxa"/>
            <w:tcBorders>
              <w:top w:val="single" w:sz="8" w:space="0" w:color="000000"/>
              <w:left w:val="single" w:sz="8" w:space="0" w:color="000000"/>
              <w:bottom w:val="single" w:sz="8" w:space="0" w:color="000000"/>
              <w:right w:val="single" w:sz="8" w:space="0" w:color="000000"/>
            </w:tcBorders>
            <w:vAlign w:val="center"/>
          </w:tcPr>
          <w:p w14:paraId="1628DFF2"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186.486</w:t>
            </w:r>
          </w:p>
        </w:tc>
        <w:tc>
          <w:tcPr>
            <w:tcW w:w="1317" w:type="dxa"/>
            <w:tcBorders>
              <w:top w:val="single" w:sz="8" w:space="0" w:color="000000"/>
              <w:left w:val="single" w:sz="8" w:space="0" w:color="000000"/>
              <w:bottom w:val="single" w:sz="8" w:space="0" w:color="000000"/>
              <w:right w:val="single" w:sz="8" w:space="0" w:color="000000"/>
            </w:tcBorders>
            <w:vAlign w:val="center"/>
          </w:tcPr>
          <w:p w14:paraId="3924125E"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10,69%</w:t>
            </w:r>
          </w:p>
        </w:tc>
        <w:tc>
          <w:tcPr>
            <w:tcW w:w="1091" w:type="dxa"/>
            <w:tcBorders>
              <w:top w:val="single" w:sz="8" w:space="0" w:color="000000"/>
              <w:left w:val="single" w:sz="8" w:space="0" w:color="000000"/>
              <w:bottom w:val="single" w:sz="8" w:space="0" w:color="000000"/>
              <w:right w:val="single" w:sz="8" w:space="0" w:color="000000"/>
            </w:tcBorders>
            <w:vAlign w:val="center"/>
          </w:tcPr>
          <w:p w14:paraId="37E1769E"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1.509.496</w:t>
            </w:r>
          </w:p>
        </w:tc>
        <w:tc>
          <w:tcPr>
            <w:tcW w:w="971" w:type="dxa"/>
            <w:tcBorders>
              <w:top w:val="single" w:sz="8" w:space="0" w:color="000000"/>
              <w:left w:val="single" w:sz="8" w:space="0" w:color="000000"/>
              <w:bottom w:val="single" w:sz="8" w:space="0" w:color="000000"/>
              <w:right w:val="single" w:sz="8" w:space="0" w:color="000000"/>
            </w:tcBorders>
            <w:vAlign w:val="center"/>
          </w:tcPr>
          <w:p w14:paraId="5F905666"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19,07%</w:t>
            </w:r>
          </w:p>
        </w:tc>
      </w:tr>
      <w:tr w:rsidR="009F762E" w:rsidRPr="00242DFB" w14:paraId="341AD555" w14:textId="77777777" w:rsidTr="00C0747A">
        <w:trPr>
          <w:cantSplit/>
          <w:trHeight w:val="106"/>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67FF2C6A" w14:textId="77777777" w:rsidR="009F762E" w:rsidRPr="00242DFB" w:rsidRDefault="00000000" w:rsidP="005B2285">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Famisanar EPS</w:t>
            </w:r>
          </w:p>
        </w:tc>
        <w:tc>
          <w:tcPr>
            <w:tcW w:w="1581" w:type="dxa"/>
            <w:tcBorders>
              <w:top w:val="single" w:sz="8" w:space="0" w:color="000000"/>
              <w:left w:val="single" w:sz="8" w:space="0" w:color="000000"/>
              <w:bottom w:val="single" w:sz="8" w:space="0" w:color="000000"/>
              <w:right w:val="single" w:sz="8" w:space="0" w:color="000000"/>
            </w:tcBorders>
            <w:vAlign w:val="center"/>
          </w:tcPr>
          <w:p w14:paraId="4357D5A5"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978.304</w:t>
            </w:r>
          </w:p>
        </w:tc>
        <w:tc>
          <w:tcPr>
            <w:tcW w:w="1447" w:type="dxa"/>
            <w:tcBorders>
              <w:top w:val="single" w:sz="8" w:space="0" w:color="000000"/>
              <w:left w:val="single" w:sz="8" w:space="0" w:color="000000"/>
              <w:bottom w:val="single" w:sz="8" w:space="0" w:color="000000"/>
              <w:right w:val="single" w:sz="8" w:space="0" w:color="000000"/>
            </w:tcBorders>
            <w:vAlign w:val="center"/>
          </w:tcPr>
          <w:p w14:paraId="1BABED71"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16,23%</w:t>
            </w:r>
          </w:p>
        </w:tc>
        <w:tc>
          <w:tcPr>
            <w:tcW w:w="1448" w:type="dxa"/>
            <w:tcBorders>
              <w:top w:val="single" w:sz="8" w:space="0" w:color="000000"/>
              <w:left w:val="single" w:sz="8" w:space="0" w:color="000000"/>
              <w:bottom w:val="single" w:sz="8" w:space="0" w:color="000000"/>
              <w:right w:val="single" w:sz="8" w:space="0" w:color="000000"/>
            </w:tcBorders>
            <w:vAlign w:val="center"/>
          </w:tcPr>
          <w:p w14:paraId="2DC0BB01"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214.087</w:t>
            </w:r>
          </w:p>
        </w:tc>
        <w:tc>
          <w:tcPr>
            <w:tcW w:w="1317" w:type="dxa"/>
            <w:tcBorders>
              <w:top w:val="single" w:sz="8" w:space="0" w:color="000000"/>
              <w:left w:val="single" w:sz="8" w:space="0" w:color="000000"/>
              <w:bottom w:val="single" w:sz="8" w:space="0" w:color="000000"/>
              <w:right w:val="single" w:sz="8" w:space="0" w:color="000000"/>
            </w:tcBorders>
            <w:vAlign w:val="center"/>
          </w:tcPr>
          <w:p w14:paraId="55D2DC9E"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12,27%</w:t>
            </w:r>
          </w:p>
        </w:tc>
        <w:tc>
          <w:tcPr>
            <w:tcW w:w="1091" w:type="dxa"/>
            <w:tcBorders>
              <w:top w:val="single" w:sz="8" w:space="0" w:color="000000"/>
              <w:left w:val="single" w:sz="8" w:space="0" w:color="000000"/>
              <w:bottom w:val="single" w:sz="8" w:space="0" w:color="000000"/>
              <w:right w:val="single" w:sz="8" w:space="0" w:color="000000"/>
            </w:tcBorders>
            <w:vAlign w:val="center"/>
          </w:tcPr>
          <w:p w14:paraId="15668FA3"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1.192.391</w:t>
            </w:r>
          </w:p>
        </w:tc>
        <w:tc>
          <w:tcPr>
            <w:tcW w:w="971" w:type="dxa"/>
            <w:tcBorders>
              <w:top w:val="single" w:sz="8" w:space="0" w:color="000000"/>
              <w:left w:val="single" w:sz="8" w:space="0" w:color="000000"/>
              <w:bottom w:val="single" w:sz="8" w:space="0" w:color="000000"/>
              <w:right w:val="single" w:sz="8" w:space="0" w:color="000000"/>
            </w:tcBorders>
            <w:vAlign w:val="center"/>
          </w:tcPr>
          <w:p w14:paraId="1AA12BD2"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15,07%</w:t>
            </w:r>
          </w:p>
        </w:tc>
      </w:tr>
      <w:tr w:rsidR="009F762E" w:rsidRPr="00242DFB" w14:paraId="73483B2E" w14:textId="77777777" w:rsidTr="00C0747A">
        <w:trPr>
          <w:cantSplit/>
          <w:trHeight w:val="121"/>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0476E0A5" w14:textId="77777777" w:rsidR="009F762E" w:rsidRPr="00242DFB" w:rsidRDefault="00000000" w:rsidP="005B2285">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Salud Total EPS</w:t>
            </w:r>
          </w:p>
        </w:tc>
        <w:tc>
          <w:tcPr>
            <w:tcW w:w="1581" w:type="dxa"/>
            <w:tcBorders>
              <w:top w:val="single" w:sz="8" w:space="0" w:color="000000"/>
              <w:left w:val="single" w:sz="8" w:space="0" w:color="000000"/>
              <w:bottom w:val="single" w:sz="8" w:space="0" w:color="000000"/>
              <w:right w:val="single" w:sz="8" w:space="0" w:color="000000"/>
            </w:tcBorders>
            <w:vAlign w:val="center"/>
          </w:tcPr>
          <w:p w14:paraId="5F94C759"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879.523</w:t>
            </w:r>
          </w:p>
        </w:tc>
        <w:tc>
          <w:tcPr>
            <w:tcW w:w="1447" w:type="dxa"/>
            <w:tcBorders>
              <w:top w:val="single" w:sz="8" w:space="0" w:color="000000"/>
              <w:left w:val="single" w:sz="8" w:space="0" w:color="000000"/>
              <w:bottom w:val="single" w:sz="8" w:space="0" w:color="000000"/>
              <w:right w:val="single" w:sz="8" w:space="0" w:color="000000"/>
            </w:tcBorders>
            <w:vAlign w:val="center"/>
          </w:tcPr>
          <w:p w14:paraId="69B07E04"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14,59%</w:t>
            </w:r>
          </w:p>
        </w:tc>
        <w:tc>
          <w:tcPr>
            <w:tcW w:w="1448" w:type="dxa"/>
            <w:tcBorders>
              <w:top w:val="single" w:sz="8" w:space="0" w:color="000000"/>
              <w:left w:val="single" w:sz="8" w:space="0" w:color="000000"/>
              <w:bottom w:val="single" w:sz="8" w:space="0" w:color="000000"/>
              <w:right w:val="single" w:sz="8" w:space="0" w:color="000000"/>
            </w:tcBorders>
            <w:vAlign w:val="center"/>
          </w:tcPr>
          <w:p w14:paraId="32DF53BE"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187.812</w:t>
            </w:r>
          </w:p>
        </w:tc>
        <w:tc>
          <w:tcPr>
            <w:tcW w:w="1317" w:type="dxa"/>
            <w:tcBorders>
              <w:top w:val="single" w:sz="8" w:space="0" w:color="000000"/>
              <w:left w:val="single" w:sz="8" w:space="0" w:color="000000"/>
              <w:bottom w:val="single" w:sz="8" w:space="0" w:color="000000"/>
              <w:right w:val="single" w:sz="8" w:space="0" w:color="000000"/>
            </w:tcBorders>
            <w:vAlign w:val="center"/>
          </w:tcPr>
          <w:p w14:paraId="3C9C7644"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10,76%</w:t>
            </w:r>
          </w:p>
        </w:tc>
        <w:tc>
          <w:tcPr>
            <w:tcW w:w="1091" w:type="dxa"/>
            <w:tcBorders>
              <w:top w:val="single" w:sz="8" w:space="0" w:color="000000"/>
              <w:left w:val="single" w:sz="8" w:space="0" w:color="000000"/>
              <w:bottom w:val="single" w:sz="8" w:space="0" w:color="000000"/>
              <w:right w:val="single" w:sz="8" w:space="0" w:color="000000"/>
            </w:tcBorders>
            <w:vAlign w:val="center"/>
          </w:tcPr>
          <w:p w14:paraId="5971EB2A"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1.067.335</w:t>
            </w:r>
          </w:p>
        </w:tc>
        <w:tc>
          <w:tcPr>
            <w:tcW w:w="971" w:type="dxa"/>
            <w:tcBorders>
              <w:top w:val="single" w:sz="8" w:space="0" w:color="000000"/>
              <w:left w:val="single" w:sz="8" w:space="0" w:color="000000"/>
              <w:bottom w:val="single" w:sz="8" w:space="0" w:color="000000"/>
              <w:right w:val="single" w:sz="8" w:space="0" w:color="000000"/>
            </w:tcBorders>
            <w:vAlign w:val="center"/>
          </w:tcPr>
          <w:p w14:paraId="025789A5"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13,49%</w:t>
            </w:r>
          </w:p>
        </w:tc>
      </w:tr>
      <w:tr w:rsidR="009F762E" w:rsidRPr="00242DFB" w14:paraId="1187377C" w14:textId="77777777" w:rsidTr="00C0747A">
        <w:trPr>
          <w:cantSplit/>
          <w:trHeight w:val="1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3513556A" w14:textId="77777777" w:rsidR="009F762E" w:rsidRPr="00242DFB" w:rsidRDefault="00000000" w:rsidP="005B2285">
            <w:pPr>
              <w:spacing w:line="360" w:lineRule="auto"/>
              <w:rPr>
                <w:rFonts w:ascii="Arial" w:hAnsi="Arial" w:cs="Arial"/>
                <w:color w:val="000000" w:themeColor="text1"/>
                <w:sz w:val="22"/>
                <w:szCs w:val="22"/>
              </w:rPr>
            </w:pPr>
            <w:r w:rsidRPr="00242DFB">
              <w:rPr>
                <w:rFonts w:ascii="Arial" w:eastAsia="Arial" w:hAnsi="Arial" w:cs="Arial"/>
                <w:b/>
                <w:bCs/>
                <w:color w:val="000000" w:themeColor="text1"/>
                <w:sz w:val="22"/>
                <w:szCs w:val="22"/>
              </w:rPr>
              <w:t>Capital Salud EPS</w:t>
            </w:r>
          </w:p>
        </w:tc>
        <w:tc>
          <w:tcPr>
            <w:tcW w:w="1581"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41C09E19"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61.961</w:t>
            </w:r>
          </w:p>
        </w:tc>
        <w:tc>
          <w:tcPr>
            <w:tcW w:w="1447"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157DEFB7"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1,03%</w:t>
            </w:r>
          </w:p>
        </w:tc>
        <w:tc>
          <w:tcPr>
            <w:tcW w:w="1448"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1B61EFA9"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838.191</w:t>
            </w:r>
          </w:p>
        </w:tc>
        <w:tc>
          <w:tcPr>
            <w:tcW w:w="1317"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1733F85E"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48,04%</w:t>
            </w:r>
          </w:p>
        </w:tc>
        <w:tc>
          <w:tcPr>
            <w:tcW w:w="1091"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3FCBFD0C"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900.152</w:t>
            </w:r>
          </w:p>
        </w:tc>
        <w:tc>
          <w:tcPr>
            <w:tcW w:w="971" w:type="dxa"/>
            <w:tcBorders>
              <w:top w:val="single" w:sz="8" w:space="0" w:color="000000"/>
              <w:left w:val="single" w:sz="8" w:space="0" w:color="000000"/>
              <w:bottom w:val="single" w:sz="8" w:space="0" w:color="000000"/>
              <w:right w:val="single" w:sz="8" w:space="0" w:color="000000"/>
            </w:tcBorders>
            <w:shd w:val="clear" w:color="auto" w:fill="F8CBAD"/>
            <w:vAlign w:val="center"/>
          </w:tcPr>
          <w:p w14:paraId="0FB79978"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11,37%</w:t>
            </w:r>
          </w:p>
        </w:tc>
      </w:tr>
      <w:tr w:rsidR="009F762E" w:rsidRPr="00242DFB" w14:paraId="70D6F5B5" w14:textId="77777777" w:rsidTr="00C0747A">
        <w:trPr>
          <w:cantSplit/>
          <w:trHeight w:val="31"/>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0B684DF1" w14:textId="77777777" w:rsidR="009F762E" w:rsidRPr="00242DFB" w:rsidRDefault="00000000" w:rsidP="005B2285">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Nueva EPS</w:t>
            </w:r>
          </w:p>
        </w:tc>
        <w:tc>
          <w:tcPr>
            <w:tcW w:w="1581" w:type="dxa"/>
            <w:tcBorders>
              <w:top w:val="single" w:sz="8" w:space="0" w:color="000000"/>
              <w:left w:val="single" w:sz="8" w:space="0" w:color="000000"/>
              <w:bottom w:val="single" w:sz="8" w:space="0" w:color="000000"/>
              <w:right w:val="single" w:sz="8" w:space="0" w:color="000000"/>
            </w:tcBorders>
            <w:vAlign w:val="center"/>
          </w:tcPr>
          <w:p w14:paraId="3B82CB60"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474.869</w:t>
            </w:r>
          </w:p>
        </w:tc>
        <w:tc>
          <w:tcPr>
            <w:tcW w:w="1447" w:type="dxa"/>
            <w:tcBorders>
              <w:top w:val="single" w:sz="8" w:space="0" w:color="000000"/>
              <w:left w:val="single" w:sz="8" w:space="0" w:color="000000"/>
              <w:bottom w:val="single" w:sz="8" w:space="0" w:color="000000"/>
              <w:right w:val="single" w:sz="8" w:space="0" w:color="000000"/>
            </w:tcBorders>
            <w:vAlign w:val="center"/>
          </w:tcPr>
          <w:p w14:paraId="23C0FDE4"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7,88%</w:t>
            </w:r>
          </w:p>
        </w:tc>
        <w:tc>
          <w:tcPr>
            <w:tcW w:w="1448" w:type="dxa"/>
            <w:tcBorders>
              <w:top w:val="single" w:sz="8" w:space="0" w:color="000000"/>
              <w:left w:val="single" w:sz="8" w:space="0" w:color="000000"/>
              <w:bottom w:val="single" w:sz="8" w:space="0" w:color="000000"/>
              <w:right w:val="single" w:sz="8" w:space="0" w:color="000000"/>
            </w:tcBorders>
            <w:vAlign w:val="center"/>
          </w:tcPr>
          <w:p w14:paraId="3DD8C967"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105.048</w:t>
            </w:r>
          </w:p>
        </w:tc>
        <w:tc>
          <w:tcPr>
            <w:tcW w:w="1317" w:type="dxa"/>
            <w:tcBorders>
              <w:top w:val="single" w:sz="8" w:space="0" w:color="000000"/>
              <w:left w:val="single" w:sz="8" w:space="0" w:color="000000"/>
              <w:bottom w:val="single" w:sz="8" w:space="0" w:color="000000"/>
              <w:right w:val="single" w:sz="8" w:space="0" w:color="000000"/>
            </w:tcBorders>
            <w:vAlign w:val="center"/>
          </w:tcPr>
          <w:p w14:paraId="40B34963"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6,02%</w:t>
            </w:r>
          </w:p>
        </w:tc>
        <w:tc>
          <w:tcPr>
            <w:tcW w:w="1091" w:type="dxa"/>
            <w:tcBorders>
              <w:top w:val="single" w:sz="8" w:space="0" w:color="000000"/>
              <w:left w:val="single" w:sz="8" w:space="0" w:color="000000"/>
              <w:bottom w:val="single" w:sz="8" w:space="0" w:color="000000"/>
              <w:right w:val="single" w:sz="8" w:space="0" w:color="000000"/>
            </w:tcBorders>
            <w:vAlign w:val="center"/>
          </w:tcPr>
          <w:p w14:paraId="3913340E"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579.917</w:t>
            </w:r>
          </w:p>
        </w:tc>
        <w:tc>
          <w:tcPr>
            <w:tcW w:w="971" w:type="dxa"/>
            <w:tcBorders>
              <w:top w:val="single" w:sz="8" w:space="0" w:color="000000"/>
              <w:left w:val="single" w:sz="8" w:space="0" w:color="000000"/>
              <w:bottom w:val="single" w:sz="8" w:space="0" w:color="000000"/>
              <w:right w:val="single" w:sz="8" w:space="0" w:color="000000"/>
            </w:tcBorders>
            <w:vAlign w:val="center"/>
          </w:tcPr>
          <w:p w14:paraId="30C0D5CD"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7,33%</w:t>
            </w:r>
          </w:p>
        </w:tc>
      </w:tr>
      <w:tr w:rsidR="009F762E" w:rsidRPr="00242DFB" w14:paraId="3574F72D" w14:textId="77777777" w:rsidTr="00C0747A">
        <w:trPr>
          <w:cantSplit/>
          <w:trHeight w:val="26"/>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019D119A" w14:textId="77777777" w:rsidR="009F762E" w:rsidRPr="00242DFB" w:rsidRDefault="00000000" w:rsidP="005B2285">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EPS Sura</w:t>
            </w:r>
          </w:p>
        </w:tc>
        <w:tc>
          <w:tcPr>
            <w:tcW w:w="1581" w:type="dxa"/>
            <w:tcBorders>
              <w:top w:val="single" w:sz="8" w:space="0" w:color="000000"/>
              <w:left w:val="single" w:sz="8" w:space="0" w:color="000000"/>
              <w:bottom w:val="single" w:sz="8" w:space="0" w:color="000000"/>
              <w:right w:val="single" w:sz="8" w:space="0" w:color="000000"/>
            </w:tcBorders>
            <w:vAlign w:val="center"/>
          </w:tcPr>
          <w:p w14:paraId="01B8E357"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432.047</w:t>
            </w:r>
          </w:p>
        </w:tc>
        <w:tc>
          <w:tcPr>
            <w:tcW w:w="1447" w:type="dxa"/>
            <w:tcBorders>
              <w:top w:val="single" w:sz="8" w:space="0" w:color="000000"/>
              <w:left w:val="single" w:sz="8" w:space="0" w:color="000000"/>
              <w:bottom w:val="single" w:sz="8" w:space="0" w:color="000000"/>
              <w:right w:val="single" w:sz="8" w:space="0" w:color="000000"/>
            </w:tcBorders>
            <w:vAlign w:val="center"/>
          </w:tcPr>
          <w:p w14:paraId="2CF64265"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7,17%</w:t>
            </w:r>
          </w:p>
        </w:tc>
        <w:tc>
          <w:tcPr>
            <w:tcW w:w="1448" w:type="dxa"/>
            <w:tcBorders>
              <w:top w:val="single" w:sz="8" w:space="0" w:color="000000"/>
              <w:left w:val="single" w:sz="8" w:space="0" w:color="000000"/>
              <w:bottom w:val="single" w:sz="8" w:space="0" w:color="000000"/>
              <w:right w:val="single" w:sz="8" w:space="0" w:color="000000"/>
            </w:tcBorders>
            <w:vAlign w:val="center"/>
          </w:tcPr>
          <w:p w14:paraId="7E5DEE18"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60.077</w:t>
            </w:r>
          </w:p>
        </w:tc>
        <w:tc>
          <w:tcPr>
            <w:tcW w:w="1317" w:type="dxa"/>
            <w:tcBorders>
              <w:top w:val="single" w:sz="8" w:space="0" w:color="000000"/>
              <w:left w:val="single" w:sz="8" w:space="0" w:color="000000"/>
              <w:bottom w:val="single" w:sz="8" w:space="0" w:color="000000"/>
              <w:right w:val="single" w:sz="8" w:space="0" w:color="000000"/>
            </w:tcBorders>
            <w:vAlign w:val="center"/>
          </w:tcPr>
          <w:p w14:paraId="7484189F"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3,44%</w:t>
            </w:r>
          </w:p>
        </w:tc>
        <w:tc>
          <w:tcPr>
            <w:tcW w:w="1091" w:type="dxa"/>
            <w:tcBorders>
              <w:top w:val="single" w:sz="8" w:space="0" w:color="000000"/>
              <w:left w:val="single" w:sz="8" w:space="0" w:color="000000"/>
              <w:bottom w:val="single" w:sz="8" w:space="0" w:color="000000"/>
              <w:right w:val="single" w:sz="8" w:space="0" w:color="000000"/>
            </w:tcBorders>
            <w:vAlign w:val="center"/>
          </w:tcPr>
          <w:p w14:paraId="0AB184C6"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492.124</w:t>
            </w:r>
          </w:p>
        </w:tc>
        <w:tc>
          <w:tcPr>
            <w:tcW w:w="971" w:type="dxa"/>
            <w:tcBorders>
              <w:top w:val="single" w:sz="8" w:space="0" w:color="000000"/>
              <w:left w:val="single" w:sz="8" w:space="0" w:color="000000"/>
              <w:bottom w:val="single" w:sz="8" w:space="0" w:color="000000"/>
              <w:right w:val="single" w:sz="8" w:space="0" w:color="000000"/>
            </w:tcBorders>
            <w:vAlign w:val="center"/>
          </w:tcPr>
          <w:p w14:paraId="573F60E4"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6,22%</w:t>
            </w:r>
          </w:p>
        </w:tc>
      </w:tr>
      <w:tr w:rsidR="009F762E" w:rsidRPr="00242DFB" w14:paraId="6A346B66" w14:textId="77777777" w:rsidTr="00C0747A">
        <w:trPr>
          <w:cantSplit/>
          <w:trHeight w:val="61"/>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633B45D9" w14:textId="77777777" w:rsidR="009F762E" w:rsidRPr="00242DFB" w:rsidRDefault="00000000" w:rsidP="005B2285">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Aliansalud EPS</w:t>
            </w:r>
          </w:p>
        </w:tc>
        <w:tc>
          <w:tcPr>
            <w:tcW w:w="1581" w:type="dxa"/>
            <w:tcBorders>
              <w:top w:val="single" w:sz="8" w:space="0" w:color="000000"/>
              <w:left w:val="single" w:sz="8" w:space="0" w:color="000000"/>
              <w:bottom w:val="single" w:sz="8" w:space="0" w:color="000000"/>
              <w:right w:val="single" w:sz="8" w:space="0" w:color="000000"/>
            </w:tcBorders>
            <w:vAlign w:val="center"/>
          </w:tcPr>
          <w:p w14:paraId="73F38120"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250.498</w:t>
            </w:r>
          </w:p>
        </w:tc>
        <w:tc>
          <w:tcPr>
            <w:tcW w:w="1447" w:type="dxa"/>
            <w:tcBorders>
              <w:top w:val="single" w:sz="8" w:space="0" w:color="000000"/>
              <w:left w:val="single" w:sz="8" w:space="0" w:color="000000"/>
              <w:bottom w:val="single" w:sz="8" w:space="0" w:color="000000"/>
              <w:right w:val="single" w:sz="8" w:space="0" w:color="000000"/>
            </w:tcBorders>
            <w:vAlign w:val="center"/>
          </w:tcPr>
          <w:p w14:paraId="5FADAD06"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4,16%</w:t>
            </w:r>
          </w:p>
        </w:tc>
        <w:tc>
          <w:tcPr>
            <w:tcW w:w="1448" w:type="dxa"/>
            <w:tcBorders>
              <w:top w:val="single" w:sz="8" w:space="0" w:color="000000"/>
              <w:left w:val="single" w:sz="8" w:space="0" w:color="000000"/>
              <w:bottom w:val="single" w:sz="8" w:space="0" w:color="000000"/>
              <w:right w:val="single" w:sz="8" w:space="0" w:color="000000"/>
            </w:tcBorders>
            <w:vAlign w:val="center"/>
          </w:tcPr>
          <w:p w14:paraId="24D39786"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7.463</w:t>
            </w:r>
          </w:p>
        </w:tc>
        <w:tc>
          <w:tcPr>
            <w:tcW w:w="1317" w:type="dxa"/>
            <w:tcBorders>
              <w:top w:val="single" w:sz="8" w:space="0" w:color="000000"/>
              <w:left w:val="single" w:sz="8" w:space="0" w:color="000000"/>
              <w:bottom w:val="single" w:sz="8" w:space="0" w:color="000000"/>
              <w:right w:val="single" w:sz="8" w:space="0" w:color="000000"/>
            </w:tcBorders>
            <w:vAlign w:val="center"/>
          </w:tcPr>
          <w:p w14:paraId="6468A913"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0,43%</w:t>
            </w:r>
          </w:p>
        </w:tc>
        <w:tc>
          <w:tcPr>
            <w:tcW w:w="1091" w:type="dxa"/>
            <w:tcBorders>
              <w:top w:val="single" w:sz="8" w:space="0" w:color="000000"/>
              <w:left w:val="single" w:sz="8" w:space="0" w:color="000000"/>
              <w:bottom w:val="single" w:sz="8" w:space="0" w:color="000000"/>
              <w:right w:val="single" w:sz="8" w:space="0" w:color="000000"/>
            </w:tcBorders>
            <w:vAlign w:val="center"/>
          </w:tcPr>
          <w:p w14:paraId="1E2B1CFD"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257.961</w:t>
            </w:r>
          </w:p>
        </w:tc>
        <w:tc>
          <w:tcPr>
            <w:tcW w:w="971" w:type="dxa"/>
            <w:tcBorders>
              <w:top w:val="single" w:sz="8" w:space="0" w:color="000000"/>
              <w:left w:val="single" w:sz="8" w:space="0" w:color="000000"/>
              <w:bottom w:val="single" w:sz="8" w:space="0" w:color="000000"/>
              <w:right w:val="single" w:sz="8" w:space="0" w:color="000000"/>
            </w:tcBorders>
            <w:vAlign w:val="center"/>
          </w:tcPr>
          <w:p w14:paraId="7703DCA4"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3,26%</w:t>
            </w:r>
          </w:p>
        </w:tc>
      </w:tr>
      <w:tr w:rsidR="009F762E" w:rsidRPr="00242DFB" w14:paraId="228FEB02" w14:textId="77777777" w:rsidTr="00C0747A">
        <w:trPr>
          <w:cantSplit/>
          <w:trHeight w:val="320"/>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78091094" w14:textId="77777777" w:rsidR="009F762E" w:rsidRPr="00242DFB" w:rsidRDefault="00000000" w:rsidP="005B2285">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Régimen de Excepción</w:t>
            </w:r>
          </w:p>
        </w:tc>
        <w:tc>
          <w:tcPr>
            <w:tcW w:w="158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ECDE685" w14:textId="6B68BD39" w:rsidR="009F762E" w:rsidRPr="00242DFB" w:rsidRDefault="009F762E" w:rsidP="005B2285">
            <w:pPr>
              <w:spacing w:line="360" w:lineRule="auto"/>
              <w:jc w:val="center"/>
              <w:rPr>
                <w:rFonts w:ascii="Arial" w:hAnsi="Arial" w:cs="Arial"/>
                <w:color w:val="000000" w:themeColor="text1"/>
                <w:sz w:val="22"/>
                <w:szCs w:val="22"/>
              </w:rPr>
            </w:pPr>
          </w:p>
        </w:tc>
        <w:tc>
          <w:tcPr>
            <w:tcW w:w="144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C112D66" w14:textId="2C30193D" w:rsidR="009F762E" w:rsidRPr="00242DFB" w:rsidRDefault="009F762E" w:rsidP="005B2285">
            <w:pPr>
              <w:spacing w:line="360" w:lineRule="auto"/>
              <w:jc w:val="center"/>
              <w:rPr>
                <w:rFonts w:ascii="Arial" w:hAnsi="Arial" w:cs="Arial"/>
                <w:color w:val="000000" w:themeColor="text1"/>
                <w:sz w:val="22"/>
                <w:szCs w:val="22"/>
              </w:rPr>
            </w:pPr>
          </w:p>
        </w:tc>
        <w:tc>
          <w:tcPr>
            <w:tcW w:w="144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A07548F" w14:textId="4C44F16E" w:rsidR="009F762E" w:rsidRPr="00242DFB" w:rsidRDefault="009F762E" w:rsidP="005B2285">
            <w:pPr>
              <w:spacing w:line="360" w:lineRule="auto"/>
              <w:jc w:val="center"/>
              <w:rPr>
                <w:rFonts w:ascii="Arial" w:hAnsi="Arial" w:cs="Arial"/>
                <w:color w:val="000000" w:themeColor="text1"/>
                <w:sz w:val="22"/>
                <w:szCs w:val="22"/>
              </w:rPr>
            </w:pPr>
          </w:p>
        </w:tc>
        <w:tc>
          <w:tcPr>
            <w:tcW w:w="13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5643B5C2" w14:textId="0BEEF29D" w:rsidR="009F762E" w:rsidRPr="00242DFB" w:rsidRDefault="009F762E" w:rsidP="005B2285">
            <w:pPr>
              <w:spacing w:line="360" w:lineRule="auto"/>
              <w:jc w:val="center"/>
              <w:rPr>
                <w:rFonts w:ascii="Arial" w:hAnsi="Arial" w:cs="Arial"/>
                <w:color w:val="000000" w:themeColor="text1"/>
                <w:sz w:val="22"/>
                <w:szCs w:val="22"/>
              </w:rPr>
            </w:pPr>
          </w:p>
        </w:tc>
        <w:tc>
          <w:tcPr>
            <w:tcW w:w="1091" w:type="dxa"/>
            <w:tcBorders>
              <w:top w:val="single" w:sz="8" w:space="0" w:color="000000"/>
              <w:left w:val="single" w:sz="8" w:space="0" w:color="000000"/>
              <w:bottom w:val="single" w:sz="8" w:space="0" w:color="000000"/>
              <w:right w:val="single" w:sz="8" w:space="0" w:color="000000"/>
            </w:tcBorders>
            <w:vAlign w:val="center"/>
          </w:tcPr>
          <w:p w14:paraId="7EA0BC13"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143.504</w:t>
            </w:r>
          </w:p>
        </w:tc>
        <w:tc>
          <w:tcPr>
            <w:tcW w:w="971" w:type="dxa"/>
            <w:tcBorders>
              <w:top w:val="single" w:sz="8" w:space="0" w:color="000000"/>
              <w:left w:val="single" w:sz="8" w:space="0" w:color="000000"/>
              <w:bottom w:val="single" w:sz="8" w:space="0" w:color="000000"/>
              <w:right w:val="single" w:sz="8" w:space="0" w:color="000000"/>
            </w:tcBorders>
            <w:vAlign w:val="center"/>
          </w:tcPr>
          <w:p w14:paraId="775C149E"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1,81%</w:t>
            </w:r>
          </w:p>
        </w:tc>
      </w:tr>
      <w:tr w:rsidR="009F762E" w:rsidRPr="00242DFB" w14:paraId="1C5CBEE2" w14:textId="77777777" w:rsidTr="00C0747A">
        <w:trPr>
          <w:cantSplit/>
          <w:trHeight w:val="144"/>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06377E14" w14:textId="77777777" w:rsidR="009F762E" w:rsidRPr="00242DFB" w:rsidRDefault="00000000" w:rsidP="005B2285">
            <w:pPr>
              <w:spacing w:line="360" w:lineRule="auto"/>
              <w:rPr>
                <w:rFonts w:ascii="Arial" w:hAnsi="Arial" w:cs="Arial"/>
                <w:color w:val="000000" w:themeColor="text1"/>
                <w:sz w:val="22"/>
                <w:szCs w:val="22"/>
              </w:rPr>
            </w:pPr>
            <w:r w:rsidRPr="00242DFB">
              <w:rPr>
                <w:rFonts w:ascii="Arial" w:eastAsia="Arial" w:hAnsi="Arial" w:cs="Arial"/>
                <w:color w:val="000000" w:themeColor="text1"/>
                <w:sz w:val="22"/>
                <w:szCs w:val="22"/>
              </w:rPr>
              <w:t>OTRAS EPS</w:t>
            </w:r>
          </w:p>
        </w:tc>
        <w:tc>
          <w:tcPr>
            <w:tcW w:w="1581" w:type="dxa"/>
            <w:tcBorders>
              <w:top w:val="single" w:sz="8" w:space="0" w:color="000000"/>
              <w:left w:val="single" w:sz="8" w:space="0" w:color="000000"/>
              <w:bottom w:val="single" w:sz="8" w:space="0" w:color="000000"/>
              <w:right w:val="single" w:sz="8" w:space="0" w:color="000000"/>
            </w:tcBorders>
            <w:vAlign w:val="center"/>
          </w:tcPr>
          <w:p w14:paraId="19EC6A48"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9.750</w:t>
            </w:r>
          </w:p>
        </w:tc>
        <w:tc>
          <w:tcPr>
            <w:tcW w:w="1447" w:type="dxa"/>
            <w:tcBorders>
              <w:top w:val="single" w:sz="8" w:space="0" w:color="000000"/>
              <w:left w:val="single" w:sz="8" w:space="0" w:color="000000"/>
              <w:bottom w:val="single" w:sz="8" w:space="0" w:color="000000"/>
              <w:right w:val="single" w:sz="8" w:space="0" w:color="000000"/>
            </w:tcBorders>
            <w:vAlign w:val="center"/>
          </w:tcPr>
          <w:p w14:paraId="1DB61BA8"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0,17%</w:t>
            </w:r>
          </w:p>
        </w:tc>
        <w:tc>
          <w:tcPr>
            <w:tcW w:w="1448" w:type="dxa"/>
            <w:tcBorders>
              <w:top w:val="single" w:sz="8" w:space="0" w:color="000000"/>
              <w:left w:val="single" w:sz="8" w:space="0" w:color="000000"/>
              <w:bottom w:val="single" w:sz="8" w:space="0" w:color="000000"/>
              <w:right w:val="single" w:sz="8" w:space="0" w:color="000000"/>
            </w:tcBorders>
            <w:vAlign w:val="center"/>
          </w:tcPr>
          <w:p w14:paraId="6E4FCB27"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25.973</w:t>
            </w:r>
          </w:p>
        </w:tc>
        <w:tc>
          <w:tcPr>
            <w:tcW w:w="1317" w:type="dxa"/>
            <w:tcBorders>
              <w:top w:val="single" w:sz="8" w:space="0" w:color="000000"/>
              <w:left w:val="single" w:sz="8" w:space="0" w:color="000000"/>
              <w:bottom w:val="single" w:sz="8" w:space="0" w:color="000000"/>
              <w:right w:val="single" w:sz="8" w:space="0" w:color="000000"/>
            </w:tcBorders>
            <w:vAlign w:val="center"/>
          </w:tcPr>
          <w:p w14:paraId="0631902E"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1,48%</w:t>
            </w:r>
          </w:p>
        </w:tc>
        <w:tc>
          <w:tcPr>
            <w:tcW w:w="1091" w:type="dxa"/>
            <w:tcBorders>
              <w:top w:val="single" w:sz="8" w:space="0" w:color="000000"/>
              <w:left w:val="single" w:sz="8" w:space="0" w:color="000000"/>
              <w:bottom w:val="single" w:sz="8" w:space="0" w:color="000000"/>
              <w:right w:val="single" w:sz="8" w:space="0" w:color="000000"/>
            </w:tcBorders>
            <w:vAlign w:val="center"/>
          </w:tcPr>
          <w:p w14:paraId="3674F5AD"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35.723</w:t>
            </w:r>
          </w:p>
        </w:tc>
        <w:tc>
          <w:tcPr>
            <w:tcW w:w="971" w:type="dxa"/>
            <w:tcBorders>
              <w:top w:val="single" w:sz="8" w:space="0" w:color="000000"/>
              <w:left w:val="single" w:sz="8" w:space="0" w:color="000000"/>
              <w:bottom w:val="single" w:sz="8" w:space="0" w:color="000000"/>
              <w:right w:val="single" w:sz="8" w:space="0" w:color="000000"/>
            </w:tcBorders>
            <w:vAlign w:val="center"/>
          </w:tcPr>
          <w:p w14:paraId="4001B3D5"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color w:val="000000" w:themeColor="text1"/>
                <w:sz w:val="22"/>
                <w:szCs w:val="22"/>
              </w:rPr>
              <w:t>0,45%</w:t>
            </w:r>
          </w:p>
        </w:tc>
      </w:tr>
      <w:tr w:rsidR="009F762E" w:rsidRPr="00242DFB" w14:paraId="67998B93" w14:textId="77777777" w:rsidTr="00C0747A">
        <w:trPr>
          <w:cantSplit/>
          <w:trHeight w:val="270"/>
          <w:jc w:val="center"/>
        </w:trPr>
        <w:tc>
          <w:tcPr>
            <w:tcW w:w="1833" w:type="dxa"/>
            <w:tcBorders>
              <w:top w:val="single" w:sz="8" w:space="0" w:color="000000"/>
              <w:left w:val="single" w:sz="8" w:space="0" w:color="000000"/>
              <w:bottom w:val="single" w:sz="8" w:space="0" w:color="000000"/>
              <w:right w:val="single" w:sz="8" w:space="0" w:color="000000"/>
            </w:tcBorders>
            <w:vAlign w:val="center"/>
          </w:tcPr>
          <w:p w14:paraId="2D13A909" w14:textId="77777777" w:rsidR="009F762E" w:rsidRPr="00242DFB" w:rsidRDefault="00000000" w:rsidP="005B2285">
            <w:pPr>
              <w:spacing w:line="360" w:lineRule="auto"/>
              <w:rPr>
                <w:rFonts w:ascii="Arial" w:hAnsi="Arial" w:cs="Arial"/>
                <w:color w:val="000000" w:themeColor="text1"/>
                <w:sz w:val="22"/>
                <w:szCs w:val="22"/>
              </w:rPr>
            </w:pPr>
            <w:r w:rsidRPr="00242DFB">
              <w:rPr>
                <w:rFonts w:ascii="Arial" w:eastAsia="Arial" w:hAnsi="Arial" w:cs="Arial"/>
                <w:b/>
                <w:bCs/>
                <w:color w:val="000000" w:themeColor="text1"/>
                <w:sz w:val="22"/>
                <w:szCs w:val="22"/>
              </w:rPr>
              <w:t>Total</w:t>
            </w:r>
          </w:p>
        </w:tc>
        <w:tc>
          <w:tcPr>
            <w:tcW w:w="1581" w:type="dxa"/>
            <w:tcBorders>
              <w:top w:val="single" w:sz="8" w:space="0" w:color="000000"/>
              <w:left w:val="single" w:sz="8" w:space="0" w:color="000000"/>
              <w:bottom w:val="single" w:sz="8" w:space="0" w:color="000000"/>
              <w:right w:val="single" w:sz="8" w:space="0" w:color="000000"/>
            </w:tcBorders>
            <w:vAlign w:val="center"/>
          </w:tcPr>
          <w:p w14:paraId="66489C4D"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6.026.606</w:t>
            </w:r>
          </w:p>
        </w:tc>
        <w:tc>
          <w:tcPr>
            <w:tcW w:w="1447" w:type="dxa"/>
            <w:tcBorders>
              <w:top w:val="single" w:sz="8" w:space="0" w:color="000000"/>
              <w:left w:val="single" w:sz="8" w:space="0" w:color="000000"/>
              <w:bottom w:val="single" w:sz="8" w:space="0" w:color="000000"/>
              <w:right w:val="single" w:sz="8" w:space="0" w:color="000000"/>
            </w:tcBorders>
            <w:vAlign w:val="center"/>
          </w:tcPr>
          <w:p w14:paraId="0AA1349B" w14:textId="4510A993"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100%</w:t>
            </w:r>
          </w:p>
        </w:tc>
        <w:tc>
          <w:tcPr>
            <w:tcW w:w="1448" w:type="dxa"/>
            <w:tcBorders>
              <w:top w:val="single" w:sz="8" w:space="0" w:color="000000"/>
              <w:left w:val="single" w:sz="8" w:space="0" w:color="000000"/>
              <w:bottom w:val="single" w:sz="8" w:space="0" w:color="000000"/>
              <w:right w:val="single" w:sz="8" w:space="0" w:color="000000"/>
            </w:tcBorders>
            <w:vAlign w:val="center"/>
          </w:tcPr>
          <w:p w14:paraId="656BD0BC"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1.744.791</w:t>
            </w:r>
          </w:p>
        </w:tc>
        <w:tc>
          <w:tcPr>
            <w:tcW w:w="1317" w:type="dxa"/>
            <w:tcBorders>
              <w:top w:val="single" w:sz="8" w:space="0" w:color="000000"/>
              <w:left w:val="single" w:sz="8" w:space="0" w:color="000000"/>
              <w:bottom w:val="single" w:sz="8" w:space="0" w:color="000000"/>
              <w:right w:val="single" w:sz="8" w:space="0" w:color="000000"/>
            </w:tcBorders>
            <w:vAlign w:val="center"/>
          </w:tcPr>
          <w:p w14:paraId="74339F80" w14:textId="33C0CBB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100%</w:t>
            </w:r>
          </w:p>
        </w:tc>
        <w:tc>
          <w:tcPr>
            <w:tcW w:w="1091" w:type="dxa"/>
            <w:tcBorders>
              <w:top w:val="single" w:sz="8" w:space="0" w:color="000000"/>
              <w:left w:val="single" w:sz="8" w:space="0" w:color="000000"/>
              <w:bottom w:val="single" w:sz="8" w:space="0" w:color="000000"/>
              <w:right w:val="single" w:sz="8" w:space="0" w:color="000000"/>
            </w:tcBorders>
            <w:vAlign w:val="center"/>
          </w:tcPr>
          <w:p w14:paraId="7B7ADE38"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7.914.901</w:t>
            </w:r>
          </w:p>
        </w:tc>
        <w:tc>
          <w:tcPr>
            <w:tcW w:w="971" w:type="dxa"/>
            <w:tcBorders>
              <w:top w:val="single" w:sz="8" w:space="0" w:color="000000"/>
              <w:left w:val="single" w:sz="8" w:space="0" w:color="000000"/>
              <w:bottom w:val="single" w:sz="8" w:space="0" w:color="000000"/>
              <w:right w:val="single" w:sz="8" w:space="0" w:color="000000"/>
            </w:tcBorders>
            <w:vAlign w:val="center"/>
          </w:tcPr>
          <w:p w14:paraId="33ABF9C3" w14:textId="75E4EC63"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eastAsia="Arial" w:hAnsi="Arial" w:cs="Arial"/>
                <w:b/>
                <w:bCs/>
                <w:color w:val="000000" w:themeColor="text1"/>
                <w:sz w:val="22"/>
                <w:szCs w:val="22"/>
              </w:rPr>
              <w:t>100%</w:t>
            </w:r>
          </w:p>
        </w:tc>
      </w:tr>
    </w:tbl>
    <w:p w14:paraId="088C6929" w14:textId="2DDA51B6" w:rsidR="009F762E" w:rsidRPr="00242DFB" w:rsidRDefault="00000000" w:rsidP="005B2285">
      <w:pPr>
        <w:spacing w:line="360" w:lineRule="auto"/>
        <w:jc w:val="both"/>
        <w:rPr>
          <w:rFonts w:ascii="Arial" w:eastAsia="Arial" w:hAnsi="Arial" w:cs="Arial"/>
          <w:color w:val="000000" w:themeColor="text1"/>
          <w:sz w:val="16"/>
          <w:szCs w:val="16"/>
        </w:rPr>
      </w:pPr>
      <w:r w:rsidRPr="00242DFB">
        <w:rPr>
          <w:rFonts w:ascii="Arial" w:eastAsia="Arial" w:hAnsi="Arial" w:cs="Arial"/>
          <w:color w:val="000000"/>
          <w:sz w:val="16"/>
          <w:szCs w:val="16"/>
        </w:rPr>
        <w:t xml:space="preserve">Fuentes: Contributivo BDUA - ADRES, </w:t>
      </w:r>
      <w:r w:rsidR="00B6346F">
        <w:rPr>
          <w:rFonts w:ascii="Arial" w:eastAsia="Arial" w:hAnsi="Arial" w:cs="Arial"/>
          <w:color w:val="000000"/>
          <w:sz w:val="16"/>
          <w:szCs w:val="16"/>
        </w:rPr>
        <w:t>consulta</w:t>
      </w:r>
      <w:r w:rsidR="008320EA">
        <w:rPr>
          <w:rFonts w:ascii="Arial" w:eastAsia="Arial" w:hAnsi="Arial" w:cs="Arial"/>
          <w:color w:val="000000"/>
          <w:sz w:val="16"/>
          <w:szCs w:val="16"/>
        </w:rPr>
        <w:t>do</w:t>
      </w:r>
      <w:r w:rsidR="00B6346F">
        <w:rPr>
          <w:rFonts w:ascii="Arial" w:eastAsia="Arial" w:hAnsi="Arial" w:cs="Arial"/>
          <w:color w:val="000000"/>
          <w:sz w:val="16"/>
          <w:szCs w:val="16"/>
        </w:rPr>
        <w:t xml:space="preserve"> el</w:t>
      </w:r>
      <w:r w:rsidRPr="00242DFB">
        <w:rPr>
          <w:rFonts w:ascii="Arial" w:eastAsia="Arial" w:hAnsi="Arial" w:cs="Arial"/>
          <w:color w:val="000000"/>
          <w:sz w:val="16"/>
          <w:szCs w:val="16"/>
        </w:rPr>
        <w:t xml:space="preserve"> 26 de mayo de 2026.- Subsidiado BDUA - ADRES, </w:t>
      </w:r>
      <w:r w:rsidR="003D4A2A">
        <w:rPr>
          <w:rFonts w:ascii="Arial" w:eastAsia="Arial" w:hAnsi="Arial" w:cs="Arial"/>
          <w:color w:val="000000"/>
          <w:sz w:val="16"/>
          <w:szCs w:val="16"/>
        </w:rPr>
        <w:t>consulta el</w:t>
      </w:r>
      <w:r w:rsidRPr="00242DFB">
        <w:rPr>
          <w:rFonts w:ascii="Arial" w:eastAsia="Arial" w:hAnsi="Arial" w:cs="Arial"/>
          <w:color w:val="000000"/>
          <w:sz w:val="16"/>
          <w:szCs w:val="16"/>
        </w:rPr>
        <w:t xml:space="preserve"> 26 de mayo de 2026.</w:t>
      </w:r>
      <w:r w:rsidRPr="00242DFB">
        <w:rPr>
          <w:rFonts w:ascii="Arial" w:hAnsi="Arial" w:cs="Arial"/>
          <w:color w:val="000000"/>
          <w:sz w:val="16"/>
          <w:szCs w:val="16"/>
        </w:rPr>
        <w:t xml:space="preserve"> </w:t>
      </w:r>
      <w:hyperlink r:id="rId12">
        <w:r w:rsidRPr="00242DFB">
          <w:rPr>
            <w:rStyle w:val="Hipervnculo"/>
            <w:rFonts w:ascii="Arial" w:eastAsia="Arial" w:hAnsi="Arial" w:cs="Arial"/>
            <w:color w:val="000000" w:themeColor="text1"/>
            <w:sz w:val="16"/>
            <w:szCs w:val="16"/>
          </w:rPr>
          <w:t>https://public.tableau.com/app/profile/minsaludcol/viz/CifrasAseguramientoenSalud_16166927767750/Aseguramiento</w:t>
        </w:r>
      </w:hyperlink>
    </w:p>
    <w:p w14:paraId="0DAB0CCF" w14:textId="77777777" w:rsidR="009F762E" w:rsidRPr="00242DFB" w:rsidRDefault="009F762E" w:rsidP="005B2285">
      <w:pPr>
        <w:spacing w:line="360" w:lineRule="auto"/>
        <w:rPr>
          <w:rFonts w:ascii="Arial" w:hAnsi="Arial" w:cs="Arial"/>
          <w:color w:val="000000" w:themeColor="text1"/>
        </w:rPr>
      </w:pPr>
    </w:p>
    <w:p w14:paraId="76171C8A" w14:textId="77777777" w:rsidR="009F762E" w:rsidRPr="00242DFB" w:rsidRDefault="00000000" w:rsidP="005B2285">
      <w:pPr>
        <w:spacing w:line="360" w:lineRule="auto"/>
        <w:jc w:val="both"/>
        <w:rPr>
          <w:rFonts w:ascii="Arial" w:eastAsia="Arial" w:hAnsi="Arial" w:cs="Arial"/>
          <w:bCs/>
          <w:color w:val="000000" w:themeColor="text1"/>
        </w:rPr>
      </w:pPr>
      <w:r w:rsidRPr="00242DFB">
        <w:rPr>
          <w:rFonts w:ascii="Arial" w:hAnsi="Arial" w:cs="Arial"/>
          <w:color w:val="000000"/>
        </w:rPr>
        <w:t>Capital Salud EPS-S en Bogotá D.C., con corte a diciembre de 2025 y de acuerdo con la información consolidada en este informe, registra 900.152 afiliados. De este total, 838.191 corresponden al régimen subsidiado, equivalentes al 93,12%, y 61.961 al régimen contributivo, equivalentes al 6,88%. Esta composición confirma el predominio del régimen subsidiado dentro de la población afiliada de la entidad en la ciudad y orienta el análisis hacia condiciones de vulnerabilidad, acceso efectivo, continuidad de la atención y gestión territorial del riesgo en salud.</w:t>
      </w:r>
    </w:p>
    <w:p w14:paraId="6FAED4F0" w14:textId="77777777" w:rsidR="009F762E" w:rsidRPr="00242DFB" w:rsidRDefault="009F762E" w:rsidP="005B2285">
      <w:pPr>
        <w:spacing w:line="360" w:lineRule="auto"/>
        <w:jc w:val="both"/>
        <w:rPr>
          <w:rFonts w:ascii="Arial" w:eastAsia="Arial" w:hAnsi="Arial" w:cs="Arial"/>
          <w:bCs/>
          <w:color w:val="000000" w:themeColor="text1"/>
        </w:rPr>
      </w:pPr>
    </w:p>
    <w:p w14:paraId="212BF04D"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bCs/>
          <w:color w:val="000000"/>
        </w:rPr>
        <w:t>Esta distribución porcentual implica que la lectura de suficiencia de red, oportunidad de citas, suministro de medicamentos y resultados en salud debe priorizar los territorios con mayor concentración de población subsidiada, así como las localidades donde se identifican brechas de acceso, mayor carga de PQRS y menor disponibilidad relativa de servicios.</w:t>
      </w:r>
    </w:p>
    <w:p w14:paraId="2DAE9037" w14:textId="77777777" w:rsidR="009F762E" w:rsidRPr="00242DFB" w:rsidRDefault="009F762E" w:rsidP="005B2285">
      <w:pPr>
        <w:spacing w:line="360" w:lineRule="auto"/>
        <w:jc w:val="both"/>
        <w:rPr>
          <w:rFonts w:ascii="Arial" w:eastAsia="Arial" w:hAnsi="Arial" w:cs="Arial"/>
          <w:b/>
          <w:bCs/>
          <w:color w:val="000000" w:themeColor="text1"/>
        </w:rPr>
      </w:pPr>
    </w:p>
    <w:p w14:paraId="1CDF6A72" w14:textId="50461684" w:rsidR="009F762E" w:rsidRPr="00242DFB" w:rsidRDefault="00000000" w:rsidP="005B2285">
      <w:pPr>
        <w:spacing w:line="360" w:lineRule="auto"/>
        <w:rPr>
          <w:rFonts w:ascii="Arial" w:eastAsia="Arial" w:hAnsi="Arial" w:cs="Arial"/>
          <w:color w:val="000000"/>
        </w:rPr>
      </w:pPr>
      <w:r w:rsidRPr="00242DFB">
        <w:rPr>
          <w:rFonts w:ascii="Arial" w:eastAsia="Arial" w:hAnsi="Arial" w:cs="Arial"/>
          <w:color w:val="000000"/>
        </w:rPr>
        <w:t xml:space="preserve">A continuación, la tabla </w:t>
      </w:r>
      <w:r w:rsidR="00C0747A" w:rsidRPr="00242DFB">
        <w:rPr>
          <w:rFonts w:ascii="Arial" w:eastAsia="Arial" w:hAnsi="Arial" w:cs="Arial"/>
          <w:color w:val="000000"/>
        </w:rPr>
        <w:t>4</w:t>
      </w:r>
      <w:r w:rsidRPr="00242DFB">
        <w:rPr>
          <w:rFonts w:ascii="Arial" w:eastAsia="Arial" w:hAnsi="Arial" w:cs="Arial"/>
          <w:color w:val="000000"/>
        </w:rPr>
        <w:t xml:space="preserve"> presenta la evolución de la afiliación de Capital Salud EPS-S entre 2021 y 2025, desagregada por régimen contributivo, subsidiado y total de afiliados.</w:t>
      </w:r>
    </w:p>
    <w:p w14:paraId="251D3306" w14:textId="77777777" w:rsidR="004A6EB2" w:rsidRDefault="004A6EB2" w:rsidP="005B2285">
      <w:pPr>
        <w:pStyle w:val="Descripcin"/>
        <w:keepNext/>
        <w:spacing w:after="0"/>
        <w:jc w:val="center"/>
        <w:rPr>
          <w:rFonts w:ascii="Arial" w:hAnsi="Arial" w:cs="Arial"/>
          <w:color w:val="auto"/>
          <w:sz w:val="24"/>
          <w:szCs w:val="24"/>
        </w:rPr>
      </w:pPr>
    </w:p>
    <w:p w14:paraId="5A21FC92" w14:textId="5F6447A3" w:rsidR="00C0747A" w:rsidRPr="00242DFB" w:rsidRDefault="00C0747A" w:rsidP="005B2285">
      <w:pPr>
        <w:pStyle w:val="Descripcin"/>
        <w:keepNext/>
        <w:spacing w:after="0"/>
        <w:jc w:val="center"/>
        <w:rPr>
          <w:rFonts w:ascii="Arial" w:hAnsi="Arial" w:cs="Arial"/>
          <w:color w:val="auto"/>
          <w:sz w:val="24"/>
          <w:szCs w:val="24"/>
        </w:rPr>
      </w:pPr>
      <w:bookmarkStart w:id="15" w:name="_Toc233574864"/>
      <w:r w:rsidRPr="00242DFB">
        <w:rPr>
          <w:rFonts w:ascii="Arial" w:hAnsi="Arial" w:cs="Arial"/>
          <w:color w:val="auto"/>
          <w:sz w:val="24"/>
          <w:szCs w:val="24"/>
        </w:rPr>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4</w:t>
      </w:r>
      <w:r w:rsidRPr="00242DFB">
        <w:rPr>
          <w:rFonts w:ascii="Arial" w:hAnsi="Arial" w:cs="Arial"/>
          <w:color w:val="auto"/>
          <w:sz w:val="24"/>
          <w:szCs w:val="24"/>
        </w:rPr>
        <w:fldChar w:fldCharType="end"/>
      </w:r>
      <w:r w:rsidRPr="00242DFB">
        <w:rPr>
          <w:rFonts w:ascii="Arial" w:hAnsi="Arial" w:cs="Arial"/>
          <w:color w:val="auto"/>
          <w:sz w:val="24"/>
          <w:szCs w:val="24"/>
        </w:rPr>
        <w:t>. Total de población afiliada a Capital Salud EPS-S 2021-2025, Bogotá D.C.</w:t>
      </w:r>
      <w:bookmarkEnd w:id="15"/>
    </w:p>
    <w:tbl>
      <w:tblPr>
        <w:tblW w:w="6641" w:type="dxa"/>
        <w:jc w:val="center"/>
        <w:tblLayout w:type="fixed"/>
        <w:tblCellMar>
          <w:top w:w="15" w:type="dxa"/>
          <w:left w:w="15" w:type="dxa"/>
          <w:right w:w="15" w:type="dxa"/>
        </w:tblCellMar>
        <w:tblLook w:val="06A0" w:firstRow="1" w:lastRow="0" w:firstColumn="1" w:lastColumn="0" w:noHBand="1" w:noVBand="1"/>
      </w:tblPr>
      <w:tblGrid>
        <w:gridCol w:w="1704"/>
        <w:gridCol w:w="933"/>
        <w:gridCol w:w="1027"/>
        <w:gridCol w:w="927"/>
        <w:gridCol w:w="1024"/>
        <w:gridCol w:w="1026"/>
      </w:tblGrid>
      <w:tr w:rsidR="009F762E" w:rsidRPr="00242DFB" w14:paraId="70D9AA6A" w14:textId="77777777" w:rsidTr="00C0747A">
        <w:trPr>
          <w:cantSplit/>
          <w:trHeight w:val="381"/>
          <w:jc w:val="center"/>
        </w:trPr>
        <w:tc>
          <w:tcPr>
            <w:tcW w:w="170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43194EF" w14:textId="77777777" w:rsidR="009F762E" w:rsidRPr="00242DFB" w:rsidRDefault="00000000" w:rsidP="005B2285">
            <w:pPr>
              <w:spacing w:line="360" w:lineRule="auto"/>
              <w:jc w:val="center"/>
              <w:rPr>
                <w:rFonts w:ascii="Arial" w:hAnsi="Arial" w:cs="Arial"/>
                <w:b/>
                <w:bCs/>
                <w:color w:val="000000" w:themeColor="text1"/>
              </w:rPr>
            </w:pPr>
            <w:r w:rsidRPr="00242DFB">
              <w:rPr>
                <w:rFonts w:ascii="Arial" w:hAnsi="Arial" w:cs="Arial"/>
                <w:b/>
                <w:bCs/>
              </w:rPr>
              <w:t>Capital Salud</w:t>
            </w:r>
          </w:p>
        </w:tc>
        <w:tc>
          <w:tcPr>
            <w:tcW w:w="93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2B49CC" w14:textId="77777777" w:rsidR="009F762E" w:rsidRPr="00242DFB" w:rsidRDefault="00000000" w:rsidP="005B2285">
            <w:pPr>
              <w:spacing w:line="360" w:lineRule="auto"/>
              <w:jc w:val="center"/>
              <w:rPr>
                <w:rFonts w:ascii="Arial" w:hAnsi="Arial" w:cs="Arial"/>
                <w:b/>
                <w:bCs/>
                <w:color w:val="000000" w:themeColor="text1"/>
              </w:rPr>
            </w:pPr>
            <w:r w:rsidRPr="00242DFB">
              <w:rPr>
                <w:rFonts w:ascii="Arial" w:eastAsia="Arial" w:hAnsi="Arial" w:cs="Arial"/>
                <w:b/>
                <w:bCs/>
                <w:color w:val="000000" w:themeColor="text1"/>
              </w:rPr>
              <w:t>2021</w:t>
            </w:r>
          </w:p>
        </w:tc>
        <w:tc>
          <w:tcPr>
            <w:tcW w:w="10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0BB0110" w14:textId="77777777" w:rsidR="009F762E" w:rsidRPr="00242DFB" w:rsidRDefault="00000000" w:rsidP="005B2285">
            <w:pPr>
              <w:spacing w:line="360" w:lineRule="auto"/>
              <w:jc w:val="center"/>
              <w:rPr>
                <w:rFonts w:ascii="Arial" w:hAnsi="Arial" w:cs="Arial"/>
                <w:b/>
                <w:bCs/>
                <w:color w:val="000000" w:themeColor="text1"/>
              </w:rPr>
            </w:pPr>
            <w:r w:rsidRPr="00242DFB">
              <w:rPr>
                <w:rFonts w:ascii="Arial" w:eastAsia="Arial" w:hAnsi="Arial" w:cs="Arial"/>
                <w:b/>
                <w:bCs/>
                <w:color w:val="000000" w:themeColor="text1"/>
              </w:rPr>
              <w:t>2022</w:t>
            </w:r>
          </w:p>
        </w:tc>
        <w:tc>
          <w:tcPr>
            <w:tcW w:w="9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1247024" w14:textId="77777777" w:rsidR="009F762E" w:rsidRPr="00242DFB" w:rsidRDefault="00000000" w:rsidP="005B2285">
            <w:pPr>
              <w:spacing w:line="360" w:lineRule="auto"/>
              <w:jc w:val="center"/>
              <w:rPr>
                <w:rFonts w:ascii="Arial" w:hAnsi="Arial" w:cs="Arial"/>
                <w:b/>
                <w:bCs/>
                <w:color w:val="000000" w:themeColor="text1"/>
              </w:rPr>
            </w:pPr>
            <w:r w:rsidRPr="00242DFB">
              <w:rPr>
                <w:rFonts w:ascii="Arial" w:eastAsia="Arial" w:hAnsi="Arial" w:cs="Arial"/>
                <w:b/>
                <w:bCs/>
                <w:color w:val="000000" w:themeColor="text1"/>
              </w:rPr>
              <w:t>2023</w:t>
            </w:r>
          </w:p>
        </w:tc>
        <w:tc>
          <w:tcPr>
            <w:tcW w:w="102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DEF1129" w14:textId="77777777" w:rsidR="009F762E" w:rsidRPr="00242DFB" w:rsidRDefault="00000000" w:rsidP="005B2285">
            <w:pPr>
              <w:spacing w:line="360" w:lineRule="auto"/>
              <w:jc w:val="center"/>
              <w:rPr>
                <w:rFonts w:ascii="Arial" w:hAnsi="Arial" w:cs="Arial"/>
                <w:b/>
                <w:bCs/>
                <w:color w:val="000000" w:themeColor="text1"/>
              </w:rPr>
            </w:pPr>
            <w:r w:rsidRPr="00242DFB">
              <w:rPr>
                <w:rFonts w:ascii="Arial" w:eastAsia="Arial" w:hAnsi="Arial" w:cs="Arial"/>
                <w:b/>
                <w:bCs/>
                <w:color w:val="000000" w:themeColor="text1"/>
              </w:rPr>
              <w:t>2024</w:t>
            </w:r>
          </w:p>
        </w:tc>
        <w:tc>
          <w:tcPr>
            <w:tcW w:w="10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7223F0" w14:textId="77777777" w:rsidR="009F762E" w:rsidRPr="00242DFB" w:rsidRDefault="00000000" w:rsidP="005B2285">
            <w:pPr>
              <w:spacing w:line="360" w:lineRule="auto"/>
              <w:jc w:val="center"/>
              <w:rPr>
                <w:rFonts w:ascii="Arial" w:hAnsi="Arial" w:cs="Arial"/>
                <w:b/>
                <w:bCs/>
                <w:color w:val="000000" w:themeColor="text1"/>
              </w:rPr>
            </w:pPr>
            <w:r w:rsidRPr="00242DFB">
              <w:rPr>
                <w:rFonts w:ascii="Arial" w:eastAsia="Arial" w:hAnsi="Arial" w:cs="Arial"/>
                <w:b/>
                <w:bCs/>
                <w:color w:val="000000" w:themeColor="text1"/>
              </w:rPr>
              <w:t>2025</w:t>
            </w:r>
          </w:p>
        </w:tc>
      </w:tr>
      <w:tr w:rsidR="009F762E" w:rsidRPr="00242DFB" w14:paraId="32ED4DE7" w14:textId="77777777" w:rsidTr="00C0747A">
        <w:trPr>
          <w:cantSplit/>
          <w:trHeight w:val="69"/>
          <w:jc w:val="center"/>
        </w:trPr>
        <w:tc>
          <w:tcPr>
            <w:tcW w:w="170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96BAB00"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Contributivo</w:t>
            </w:r>
          </w:p>
        </w:tc>
        <w:tc>
          <w:tcPr>
            <w:tcW w:w="93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8C2100"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63.365</w:t>
            </w:r>
          </w:p>
        </w:tc>
        <w:tc>
          <w:tcPr>
            <w:tcW w:w="10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DADC76"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78.589</w:t>
            </w:r>
          </w:p>
        </w:tc>
        <w:tc>
          <w:tcPr>
            <w:tcW w:w="9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485E14"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59.112</w:t>
            </w:r>
          </w:p>
        </w:tc>
        <w:tc>
          <w:tcPr>
            <w:tcW w:w="102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24DFC7C"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58.140</w:t>
            </w:r>
          </w:p>
        </w:tc>
        <w:tc>
          <w:tcPr>
            <w:tcW w:w="10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DBE501"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61.961</w:t>
            </w:r>
          </w:p>
        </w:tc>
      </w:tr>
      <w:tr w:rsidR="009F762E" w:rsidRPr="00242DFB" w14:paraId="6A317887" w14:textId="77777777" w:rsidTr="00C0747A">
        <w:trPr>
          <w:cantSplit/>
          <w:trHeight w:val="381"/>
          <w:jc w:val="center"/>
        </w:trPr>
        <w:tc>
          <w:tcPr>
            <w:tcW w:w="170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D2582E"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Subsidiado</w:t>
            </w:r>
          </w:p>
        </w:tc>
        <w:tc>
          <w:tcPr>
            <w:tcW w:w="93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48DBE92"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895.429</w:t>
            </w:r>
          </w:p>
        </w:tc>
        <w:tc>
          <w:tcPr>
            <w:tcW w:w="10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CD4A30E"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887.151</w:t>
            </w:r>
          </w:p>
        </w:tc>
        <w:tc>
          <w:tcPr>
            <w:tcW w:w="9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4803CE2"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879.277</w:t>
            </w:r>
          </w:p>
        </w:tc>
        <w:tc>
          <w:tcPr>
            <w:tcW w:w="102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AC7A0D"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818.621</w:t>
            </w:r>
          </w:p>
        </w:tc>
        <w:tc>
          <w:tcPr>
            <w:tcW w:w="10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D3174C"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color w:val="000000" w:themeColor="text1"/>
              </w:rPr>
              <w:t>838.191</w:t>
            </w:r>
          </w:p>
        </w:tc>
      </w:tr>
      <w:tr w:rsidR="009F762E" w:rsidRPr="00242DFB" w14:paraId="1A776AAD" w14:textId="77777777" w:rsidTr="00C0747A">
        <w:trPr>
          <w:cantSplit/>
          <w:trHeight w:val="381"/>
          <w:jc w:val="center"/>
        </w:trPr>
        <w:tc>
          <w:tcPr>
            <w:tcW w:w="170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E9BC8C" w14:textId="0F098A95" w:rsidR="009F762E" w:rsidRPr="00242DFB" w:rsidRDefault="00C0747A" w:rsidP="005B2285">
            <w:pPr>
              <w:spacing w:line="360" w:lineRule="auto"/>
              <w:rPr>
                <w:rFonts w:ascii="Arial" w:hAnsi="Arial" w:cs="Arial"/>
                <w:color w:val="000000" w:themeColor="text1"/>
              </w:rPr>
            </w:pPr>
            <w:r w:rsidRPr="00242DFB">
              <w:rPr>
                <w:rFonts w:ascii="Arial" w:hAnsi="Arial" w:cs="Arial"/>
              </w:rPr>
              <w:t>Total,</w:t>
            </w:r>
            <w:r w:rsidR="00000000" w:rsidRPr="00242DFB">
              <w:rPr>
                <w:rFonts w:ascii="Arial" w:hAnsi="Arial" w:cs="Arial"/>
              </w:rPr>
              <w:t xml:space="preserve"> afiliados</w:t>
            </w:r>
          </w:p>
        </w:tc>
        <w:tc>
          <w:tcPr>
            <w:tcW w:w="93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FF2F0BE"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b/>
                <w:bCs/>
                <w:color w:val="000000" w:themeColor="text1"/>
              </w:rPr>
              <w:t>958.794</w:t>
            </w:r>
          </w:p>
        </w:tc>
        <w:tc>
          <w:tcPr>
            <w:tcW w:w="10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60A9778"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b/>
                <w:bCs/>
                <w:color w:val="000000" w:themeColor="text1"/>
              </w:rPr>
              <w:t>965.740</w:t>
            </w:r>
          </w:p>
        </w:tc>
        <w:tc>
          <w:tcPr>
            <w:tcW w:w="9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F61A664"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b/>
                <w:bCs/>
                <w:color w:val="000000" w:themeColor="text1"/>
              </w:rPr>
              <w:t>938.389</w:t>
            </w:r>
          </w:p>
        </w:tc>
        <w:tc>
          <w:tcPr>
            <w:tcW w:w="102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0393553"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b/>
                <w:bCs/>
                <w:color w:val="000000" w:themeColor="text1"/>
              </w:rPr>
              <w:t>876.761</w:t>
            </w:r>
          </w:p>
        </w:tc>
        <w:tc>
          <w:tcPr>
            <w:tcW w:w="10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DBF99AD" w14:textId="77777777" w:rsidR="009F762E" w:rsidRPr="00242DFB" w:rsidRDefault="00000000" w:rsidP="005B2285">
            <w:pPr>
              <w:spacing w:line="360" w:lineRule="auto"/>
              <w:jc w:val="right"/>
              <w:rPr>
                <w:rFonts w:ascii="Arial" w:hAnsi="Arial" w:cs="Arial"/>
                <w:color w:val="000000" w:themeColor="text1"/>
              </w:rPr>
            </w:pPr>
            <w:r w:rsidRPr="00242DFB">
              <w:rPr>
                <w:rFonts w:ascii="Arial" w:eastAsia="Arial" w:hAnsi="Arial" w:cs="Arial"/>
                <w:b/>
                <w:bCs/>
                <w:color w:val="000000" w:themeColor="text1"/>
              </w:rPr>
              <w:t>900.152</w:t>
            </w:r>
          </w:p>
        </w:tc>
      </w:tr>
    </w:tbl>
    <w:p w14:paraId="724426BE" w14:textId="77777777" w:rsidR="009F762E" w:rsidRPr="00242DFB" w:rsidRDefault="00000000" w:rsidP="005B2285">
      <w:pPr>
        <w:spacing w:line="360" w:lineRule="auto"/>
        <w:jc w:val="both"/>
        <w:rPr>
          <w:rFonts w:ascii="Arial" w:eastAsia="Arial" w:hAnsi="Arial" w:cs="Arial"/>
          <w:color w:val="000000" w:themeColor="text1"/>
          <w:sz w:val="16"/>
          <w:szCs w:val="16"/>
        </w:rPr>
      </w:pPr>
      <w:r w:rsidRPr="00242DFB">
        <w:rPr>
          <w:rFonts w:ascii="Arial" w:eastAsia="Arial" w:hAnsi="Arial" w:cs="Arial"/>
          <w:color w:val="000000"/>
          <w:sz w:val="16"/>
          <w:szCs w:val="16"/>
        </w:rPr>
        <w:t xml:space="preserve">Fuente: Ministerio de Salud y Protección Social. Cifras de afiliación en salud (Datos para descarga: “Cifras diciembre 2025”, corte a 31 de diciembre de 2025). Consultado el 26 de mayo de 2026 en </w:t>
      </w:r>
      <w:hyperlink r:id="rId13">
        <w:r w:rsidRPr="00242DFB">
          <w:rPr>
            <w:rStyle w:val="Hipervnculo"/>
            <w:rFonts w:ascii="Arial" w:eastAsia="Arial" w:hAnsi="Arial" w:cs="Arial"/>
            <w:color w:val="000000" w:themeColor="text1"/>
            <w:sz w:val="16"/>
            <w:szCs w:val="16"/>
          </w:rPr>
          <w:t>https://www.minsalud.gov.co/proteccionsocial/paginas/cifras-aseguramiento-salud.aspx</w:t>
        </w:r>
      </w:hyperlink>
    </w:p>
    <w:p w14:paraId="3B8F3432" w14:textId="77777777" w:rsidR="009F762E" w:rsidRPr="00242DFB" w:rsidRDefault="009F762E" w:rsidP="005B2285">
      <w:pPr>
        <w:spacing w:line="360" w:lineRule="auto"/>
        <w:jc w:val="both"/>
        <w:rPr>
          <w:rFonts w:ascii="Arial" w:eastAsia="Arial" w:hAnsi="Arial" w:cs="Arial"/>
          <w:color w:val="000000" w:themeColor="text1"/>
        </w:rPr>
      </w:pPr>
    </w:p>
    <w:p w14:paraId="7FD22EAA"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Entre diciembre de 2021 y diciembre de 2025, la población afiliada de Capital Salud EPS-S en Bogotá D.C. presentó una disminución neta de 58.642 usuarios, al pasar de 958.794 afiliados en 2021 a 900.152 en 2025. El comportamiento no es lineal: se observa un leve aumento en 2022, seguido de descensos en 2023 y 2024, y una recuperación parcial en 2025. Esta dinámica puede estar asociada a movilidad entre EPS, depuración de bases de datos, traslados de afiliados y cambios en las condiciones de aseguramiento de la población.</w:t>
      </w:r>
    </w:p>
    <w:p w14:paraId="3D551B0E" w14:textId="77777777" w:rsidR="009F762E" w:rsidRPr="00242DFB" w:rsidRDefault="009F762E" w:rsidP="005B2285">
      <w:pPr>
        <w:spacing w:line="360" w:lineRule="auto"/>
        <w:jc w:val="both"/>
        <w:rPr>
          <w:rFonts w:ascii="Arial" w:eastAsia="Arial" w:hAnsi="Arial" w:cs="Arial"/>
          <w:color w:val="000000" w:themeColor="text1"/>
        </w:rPr>
      </w:pPr>
    </w:p>
    <w:p w14:paraId="04FBC620"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Desde una lectura técnica, la recuperación observada en 2025 no compensa totalmente la reducción acumulada del periodo 2021-2024; por tanto, el análisis de red y resultados debe considerar no solo el volumen total de afiliados, sino también </w:t>
      </w:r>
      <w:r w:rsidRPr="00242DFB">
        <w:rPr>
          <w:rFonts w:ascii="Arial" w:eastAsia="Arial" w:hAnsi="Arial" w:cs="Arial"/>
          <w:color w:val="000000"/>
        </w:rPr>
        <w:lastRenderedPageBreak/>
        <w:t>la concentración territorial, el perfil subsidiado de la población y la presión que ejercen las localidades con mayor carga de usuarios.</w:t>
      </w:r>
    </w:p>
    <w:p w14:paraId="49EC6B87" w14:textId="77777777" w:rsidR="009F762E" w:rsidRPr="00242DFB" w:rsidRDefault="009F762E" w:rsidP="005B2285">
      <w:pPr>
        <w:spacing w:line="360" w:lineRule="auto"/>
        <w:jc w:val="both"/>
        <w:rPr>
          <w:rFonts w:ascii="Arial" w:eastAsia="Arial" w:hAnsi="Arial" w:cs="Arial"/>
          <w:color w:val="000000" w:themeColor="text1"/>
        </w:rPr>
      </w:pPr>
    </w:p>
    <w:p w14:paraId="6058E23D" w14:textId="7A8B5D72" w:rsidR="007E59AC" w:rsidRPr="00242DFB" w:rsidRDefault="007E59AC" w:rsidP="005B2285">
      <w:pPr>
        <w:pStyle w:val="Descripcin"/>
        <w:keepNext/>
        <w:spacing w:after="0"/>
        <w:jc w:val="center"/>
        <w:rPr>
          <w:rFonts w:ascii="Arial" w:hAnsi="Arial" w:cs="Arial"/>
          <w:color w:val="auto"/>
          <w:sz w:val="24"/>
          <w:szCs w:val="24"/>
        </w:rPr>
      </w:pPr>
      <w:bookmarkStart w:id="16" w:name="_Toc233568857"/>
      <w:r w:rsidRPr="00242DFB">
        <w:rPr>
          <w:rFonts w:ascii="Arial" w:hAnsi="Arial" w:cs="Arial"/>
          <w:color w:val="auto"/>
          <w:sz w:val="24"/>
          <w:szCs w:val="24"/>
        </w:rPr>
        <w:t xml:space="preserve">Gráfica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Gráfica \* ARABIC </w:instrText>
      </w:r>
      <w:r w:rsidRPr="00242DFB">
        <w:rPr>
          <w:rFonts w:ascii="Arial" w:hAnsi="Arial" w:cs="Arial"/>
          <w:color w:val="auto"/>
          <w:sz w:val="24"/>
          <w:szCs w:val="24"/>
        </w:rPr>
        <w:fldChar w:fldCharType="separate"/>
      </w:r>
      <w:r w:rsidR="004F456A">
        <w:rPr>
          <w:rFonts w:ascii="Arial" w:hAnsi="Arial" w:cs="Arial"/>
          <w:noProof/>
          <w:color w:val="auto"/>
          <w:sz w:val="24"/>
          <w:szCs w:val="24"/>
        </w:rPr>
        <w:t>1</w:t>
      </w:r>
      <w:r w:rsidRPr="00242DFB">
        <w:rPr>
          <w:rFonts w:ascii="Arial" w:hAnsi="Arial" w:cs="Arial"/>
          <w:color w:val="auto"/>
          <w:sz w:val="24"/>
          <w:szCs w:val="24"/>
        </w:rPr>
        <w:fldChar w:fldCharType="end"/>
      </w:r>
      <w:r w:rsidRPr="00242DFB">
        <w:rPr>
          <w:rFonts w:ascii="Arial" w:hAnsi="Arial" w:cs="Arial"/>
          <w:color w:val="auto"/>
          <w:sz w:val="24"/>
          <w:szCs w:val="24"/>
        </w:rPr>
        <w:t>. Tendencia de afiliados Capital Salud EPS-S por régimen 2021-2025, Bogotá D.C.</w:t>
      </w:r>
      <w:bookmarkEnd w:id="16"/>
    </w:p>
    <w:p w14:paraId="49A1B895" w14:textId="56A76E38" w:rsidR="009F762E" w:rsidRPr="00242DFB" w:rsidRDefault="00C0747A" w:rsidP="005B2285">
      <w:pPr>
        <w:spacing w:line="360" w:lineRule="auto"/>
        <w:jc w:val="center"/>
        <w:rPr>
          <w:rFonts w:ascii="Arial" w:hAnsi="Arial" w:cs="Arial"/>
          <w:color w:val="000000" w:themeColor="text1"/>
        </w:rPr>
      </w:pPr>
      <w:r w:rsidRPr="00242DFB">
        <w:rPr>
          <w:rFonts w:ascii="Arial" w:hAnsi="Arial" w:cs="Arial"/>
          <w:noProof/>
        </w:rPr>
        <w:drawing>
          <wp:inline distT="0" distB="0" distL="0" distR="0" wp14:anchorId="703C5141" wp14:editId="52A2E9CB">
            <wp:extent cx="5612130" cy="2771775"/>
            <wp:effectExtent l="0" t="0" r="0" b="0"/>
            <wp:docPr id="12" name="Gráfico 12">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C3318D9" w14:textId="77777777" w:rsidR="009F762E" w:rsidRPr="00242DFB" w:rsidRDefault="00000000" w:rsidP="005B2285">
      <w:pPr>
        <w:spacing w:line="360" w:lineRule="auto"/>
        <w:jc w:val="both"/>
        <w:rPr>
          <w:rFonts w:ascii="Arial" w:eastAsia="Arial" w:hAnsi="Arial" w:cs="Arial"/>
          <w:color w:val="000000" w:themeColor="text1"/>
          <w:sz w:val="16"/>
          <w:szCs w:val="16"/>
        </w:rPr>
      </w:pPr>
      <w:r w:rsidRPr="00242DFB">
        <w:rPr>
          <w:rFonts w:ascii="Arial" w:eastAsia="Arial" w:hAnsi="Arial" w:cs="Arial"/>
          <w:color w:val="000000"/>
          <w:sz w:val="16"/>
          <w:szCs w:val="16"/>
        </w:rPr>
        <w:t>Fuente: Ministerio de Salud y Protección Social. Cifras de afiliación en salud (Datos para descarga: “Cifras diciembre 2025”, corte a 31 de diciembre de 2025). Consultado el 25 de mayo de 2026 en https://www.minsalud.gov.co/proteccionsocial/paginas/cifras-aseguramiento-salud.aspx</w:t>
      </w:r>
    </w:p>
    <w:p w14:paraId="2F4D2C2D" w14:textId="77777777" w:rsidR="009F762E" w:rsidRPr="00242DFB" w:rsidRDefault="009F762E" w:rsidP="005B2285">
      <w:pPr>
        <w:spacing w:line="360" w:lineRule="auto"/>
        <w:rPr>
          <w:rFonts w:ascii="Arial" w:hAnsi="Arial" w:cs="Arial"/>
          <w:color w:val="000000" w:themeColor="text1"/>
        </w:rPr>
      </w:pPr>
    </w:p>
    <w:p w14:paraId="3EA4910A"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hAnsi="Arial" w:cs="Arial"/>
          <w:color w:val="000000"/>
        </w:rPr>
        <w:t xml:space="preserve">En cuanto a la composición por sexo, la Gráfica 2 evidencia diferencias moderadas entre los dos regímenes de afiliación de Capital Salud EPS-S en Bogotá D.C. En el régimen subsidiado se observa predominio del sexo femenino, con 442.067 afiliadas, equivalentes al 52,74%, frente a 396.124 afiliados del sexo masculino, correspondientes al 47,26%. Por su parte, en el régimen contributivo el patrón se invierte: predominan los hombres, con 31.285 afiliados (50,49%), mientras que las mujeres representan 30.676 afiliadas (49,51%). </w:t>
      </w:r>
    </w:p>
    <w:p w14:paraId="4A5D0C8A"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6EB6F727" w14:textId="77777777" w:rsidR="009F762E" w:rsidRPr="00242DFB"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t>Aunque las brechas por sexo no son amplias, su identificación resulta relevante para orientar acciones de gestión del riesgo, demanda inducida, implementación de RIAS y estrategias de salud pública con mayor pertinencia, de acuerdo con el perfil poblacional de cada régimen.</w:t>
      </w:r>
    </w:p>
    <w:p w14:paraId="524C2D0C" w14:textId="77777777" w:rsidR="007E59AC" w:rsidRPr="00242DFB" w:rsidRDefault="007E59AC" w:rsidP="005B2285">
      <w:pPr>
        <w:spacing w:line="360" w:lineRule="auto"/>
        <w:jc w:val="both"/>
        <w:rPr>
          <w:rFonts w:ascii="Arial" w:hAnsi="Arial" w:cs="Arial"/>
          <w:color w:val="000000" w:themeColor="text1"/>
        </w:rPr>
      </w:pPr>
    </w:p>
    <w:p w14:paraId="1C5F0CF4" w14:textId="221DDCBC" w:rsidR="007E59AC" w:rsidRPr="00242DFB" w:rsidRDefault="000B2422" w:rsidP="005B2285">
      <w:pPr>
        <w:pStyle w:val="Descripcin"/>
        <w:keepNext/>
        <w:spacing w:after="0"/>
        <w:jc w:val="center"/>
        <w:rPr>
          <w:rFonts w:ascii="Arial" w:hAnsi="Arial" w:cs="Arial"/>
          <w:color w:val="auto"/>
          <w:sz w:val="24"/>
          <w:szCs w:val="24"/>
        </w:rPr>
      </w:pPr>
      <w:bookmarkStart w:id="17" w:name="_Toc233568858"/>
      <w:r w:rsidRPr="00242DFB">
        <w:rPr>
          <w:rFonts w:ascii="Arial" w:eastAsia="Arial" w:hAnsi="Arial" w:cs="Arial"/>
        </w:rPr>
        <w:lastRenderedPageBreak/>
        <w:drawing>
          <wp:anchor distT="0" distB="0" distL="114300" distR="114300" simplePos="0" relativeHeight="251659776" behindDoc="1" locked="0" layoutInCell="1" allowOverlap="1" wp14:anchorId="19CD662F" wp14:editId="5FC07022">
            <wp:simplePos x="0" y="0"/>
            <wp:positionH relativeFrom="column">
              <wp:posOffset>-661035</wp:posOffset>
            </wp:positionH>
            <wp:positionV relativeFrom="paragraph">
              <wp:posOffset>299720</wp:posOffset>
            </wp:positionV>
            <wp:extent cx="6781800" cy="4457700"/>
            <wp:effectExtent l="0" t="0" r="0" b="0"/>
            <wp:wrapTight wrapText="bothSides">
              <wp:wrapPolygon edited="0">
                <wp:start x="3155" y="0"/>
                <wp:lineTo x="2852" y="0"/>
                <wp:lineTo x="121" y="1385"/>
                <wp:lineTo x="121" y="19662"/>
                <wp:lineTo x="21539" y="19662"/>
                <wp:lineTo x="21539" y="0"/>
                <wp:lineTo x="14198" y="0"/>
                <wp:lineTo x="3155" y="0"/>
              </wp:wrapPolygon>
            </wp:wrapTight>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81800" cy="4457700"/>
                    </a:xfrm>
                    <a:prstGeom prst="rect">
                      <a:avLst/>
                    </a:prstGeom>
                    <a:noFill/>
                    <a:ln>
                      <a:noFill/>
                    </a:ln>
                  </pic:spPr>
                </pic:pic>
              </a:graphicData>
            </a:graphic>
            <wp14:sizeRelH relativeFrom="page">
              <wp14:pctWidth>0</wp14:pctWidth>
            </wp14:sizeRelH>
            <wp14:sizeRelV relativeFrom="page">
              <wp14:pctHeight>0</wp14:pctHeight>
            </wp14:sizeRelV>
          </wp:anchor>
        </w:drawing>
      </w:r>
      <w:r w:rsidR="007E59AC" w:rsidRPr="00242DFB">
        <w:rPr>
          <w:rFonts w:ascii="Arial" w:hAnsi="Arial" w:cs="Arial"/>
          <w:color w:val="auto"/>
          <w:sz w:val="24"/>
          <w:szCs w:val="24"/>
        </w:rPr>
        <w:t xml:space="preserve">Gráfica </w:t>
      </w:r>
      <w:r w:rsidR="007E59AC" w:rsidRPr="00242DFB">
        <w:rPr>
          <w:rFonts w:ascii="Arial" w:hAnsi="Arial" w:cs="Arial"/>
          <w:color w:val="auto"/>
          <w:sz w:val="24"/>
          <w:szCs w:val="24"/>
        </w:rPr>
        <w:fldChar w:fldCharType="begin"/>
      </w:r>
      <w:r w:rsidR="007E59AC" w:rsidRPr="00242DFB">
        <w:rPr>
          <w:rFonts w:ascii="Arial" w:hAnsi="Arial" w:cs="Arial"/>
          <w:color w:val="auto"/>
          <w:sz w:val="24"/>
          <w:szCs w:val="24"/>
        </w:rPr>
        <w:instrText xml:space="preserve"> SEQ Gráfica \* ARABIC </w:instrText>
      </w:r>
      <w:r w:rsidR="007E59AC" w:rsidRPr="00242DFB">
        <w:rPr>
          <w:rFonts w:ascii="Arial" w:hAnsi="Arial" w:cs="Arial"/>
          <w:color w:val="auto"/>
          <w:sz w:val="24"/>
          <w:szCs w:val="24"/>
        </w:rPr>
        <w:fldChar w:fldCharType="separate"/>
      </w:r>
      <w:r w:rsidR="004F456A">
        <w:rPr>
          <w:rFonts w:ascii="Arial" w:hAnsi="Arial" w:cs="Arial"/>
          <w:noProof/>
          <w:color w:val="auto"/>
          <w:sz w:val="24"/>
          <w:szCs w:val="24"/>
        </w:rPr>
        <w:t>2</w:t>
      </w:r>
      <w:r w:rsidR="007E59AC" w:rsidRPr="00242DFB">
        <w:rPr>
          <w:rFonts w:ascii="Arial" w:hAnsi="Arial" w:cs="Arial"/>
          <w:color w:val="auto"/>
          <w:sz w:val="24"/>
          <w:szCs w:val="24"/>
        </w:rPr>
        <w:fldChar w:fldCharType="end"/>
      </w:r>
      <w:r w:rsidR="007E59AC" w:rsidRPr="00242DFB">
        <w:rPr>
          <w:rFonts w:ascii="Arial" w:hAnsi="Arial" w:cs="Arial"/>
          <w:color w:val="auto"/>
          <w:sz w:val="24"/>
          <w:szCs w:val="24"/>
        </w:rPr>
        <w:t>. Afiliados por edad y género Capital Salud EPS – Bogotá D.C.</w:t>
      </w:r>
      <w:bookmarkEnd w:id="17"/>
    </w:p>
    <w:p w14:paraId="36DC2EBD" w14:textId="075A600F" w:rsidR="007E59AC" w:rsidRPr="00242DFB" w:rsidRDefault="007E59AC" w:rsidP="005B2285">
      <w:pPr>
        <w:spacing w:line="360" w:lineRule="auto"/>
        <w:rPr>
          <w:rFonts w:ascii="Arial" w:eastAsia="Arial" w:hAnsi="Arial" w:cs="Arial"/>
          <w:color w:val="000000"/>
          <w:sz w:val="16"/>
          <w:szCs w:val="16"/>
        </w:rPr>
      </w:pPr>
    </w:p>
    <w:p w14:paraId="6370CB7B" w14:textId="61B9FAED" w:rsidR="009F762E" w:rsidRPr="00242DFB" w:rsidRDefault="00000000" w:rsidP="005B2285">
      <w:pPr>
        <w:spacing w:line="360" w:lineRule="auto"/>
        <w:jc w:val="both"/>
        <w:rPr>
          <w:rFonts w:ascii="Arial" w:eastAsia="Arial" w:hAnsi="Arial" w:cs="Arial"/>
          <w:color w:val="000000" w:themeColor="text1"/>
          <w:sz w:val="16"/>
          <w:szCs w:val="16"/>
        </w:rPr>
      </w:pPr>
      <w:r w:rsidRPr="00242DFB">
        <w:rPr>
          <w:rFonts w:ascii="Arial" w:eastAsia="Arial" w:hAnsi="Arial" w:cs="Arial"/>
          <w:color w:val="000000"/>
          <w:sz w:val="16"/>
          <w:szCs w:val="16"/>
        </w:rPr>
        <w:t xml:space="preserve">Fuentes: Ministerio de Salud y Protección Social. Cifras de afiliación en salud, corte a 04-2026. </w:t>
      </w:r>
      <w:hyperlink r:id="rId16">
        <w:r w:rsidRPr="00242DFB">
          <w:rPr>
            <w:rStyle w:val="Hipervnculo"/>
            <w:rFonts w:ascii="Arial" w:eastAsia="Arial" w:hAnsi="Arial" w:cs="Arial"/>
            <w:color w:val="000000" w:themeColor="text1"/>
            <w:sz w:val="16"/>
            <w:szCs w:val="16"/>
          </w:rPr>
          <w:t>https://www.minsalud.gov.co/proteccionsocial/paginas/cifras-aseguramiento-salud.aspx</w:t>
        </w:r>
      </w:hyperlink>
      <w:r w:rsidRPr="00242DFB">
        <w:rPr>
          <w:rFonts w:ascii="Arial" w:eastAsia="Arial" w:hAnsi="Arial" w:cs="Arial"/>
          <w:color w:val="000000"/>
          <w:sz w:val="16"/>
          <w:szCs w:val="16"/>
        </w:rPr>
        <w:t xml:space="preserve"> </w:t>
      </w:r>
    </w:p>
    <w:p w14:paraId="793B10F6"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6A06A10E"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Asimismo, la distribución por edad muestra que, en el régimen subsidiado, el grupo quinquenal con mayor concentración de afiliados corresponde al rango de 5 a 9 años, un total de 67.922 menores de edad; para esta población infantil se requiere actividades orientadas al crecimiento saludable, prevención de enfermedades, desarrollo emocional y adquisición de hábitos saludables. </w:t>
      </w:r>
    </w:p>
    <w:p w14:paraId="1B5D8150" w14:textId="77777777" w:rsidR="009F762E" w:rsidRPr="00242DFB" w:rsidRDefault="009F762E" w:rsidP="005B2285">
      <w:pPr>
        <w:spacing w:line="360" w:lineRule="auto"/>
        <w:jc w:val="both"/>
        <w:rPr>
          <w:rFonts w:ascii="Arial" w:eastAsia="Arial" w:hAnsi="Arial" w:cs="Arial"/>
          <w:color w:val="000000" w:themeColor="text1"/>
        </w:rPr>
      </w:pPr>
    </w:p>
    <w:p w14:paraId="6D368AC3"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Para el caso del régimen contributivo, el rango con mayor representación es el de 20 a 24 años equivalente a 11.908 afiliados; lo que confirma una composición poblacional predominantemente joven. Este patrón sugiere la necesidad de fortalecer intervenciones orientadas a promoción de la salud, prevención temprana, detección oportuna de riesgos y adopción de estilos de vida saludables, sin perder </w:t>
      </w:r>
      <w:r w:rsidRPr="00242DFB">
        <w:rPr>
          <w:rFonts w:ascii="Arial" w:eastAsia="Arial" w:hAnsi="Arial" w:cs="Arial"/>
          <w:color w:val="000000"/>
        </w:rPr>
        <w:lastRenderedPageBreak/>
        <w:t>de vista que también existen grupos de mayor edad que demandan seguimiento clínico, continuidad en la atención y abordaje oportuno de condiciones crónicas.</w:t>
      </w:r>
    </w:p>
    <w:p w14:paraId="60765D97"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37F14259" w14:textId="15052E9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Teniendo en cuenta que la ciudad de Bogotá soporta la red contratada de media y alta complejidad de los municipios circunvecinos, para el caso del municipio de Soacha Capital Salud EPS-S por los dos regímenes, entre 202</w:t>
      </w:r>
      <w:r w:rsidR="003F66B4">
        <w:rPr>
          <w:rFonts w:ascii="Arial" w:eastAsia="Arial" w:hAnsi="Arial" w:cs="Arial"/>
          <w:color w:val="000000"/>
        </w:rPr>
        <w:t>3</w:t>
      </w:r>
      <w:r w:rsidRPr="00242DFB">
        <w:rPr>
          <w:rFonts w:ascii="Arial" w:eastAsia="Arial" w:hAnsi="Arial" w:cs="Arial"/>
          <w:color w:val="000000"/>
        </w:rPr>
        <w:t xml:space="preserve"> a 2025, presentó un promedio anual de 7.613 afiliados, como se detalla en la siguiente tabla:</w:t>
      </w:r>
    </w:p>
    <w:p w14:paraId="1C17AB9A" w14:textId="3574AEB0"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690C9318" w14:textId="67E8CF4A" w:rsidR="00E117C1" w:rsidRPr="00242DFB" w:rsidRDefault="00E117C1" w:rsidP="005B2285">
      <w:pPr>
        <w:pStyle w:val="Descripcin"/>
        <w:keepNext/>
        <w:spacing w:after="0"/>
        <w:rPr>
          <w:rFonts w:ascii="Arial" w:hAnsi="Arial" w:cs="Arial"/>
          <w:color w:val="auto"/>
          <w:sz w:val="24"/>
          <w:szCs w:val="24"/>
        </w:rPr>
      </w:pPr>
      <w:bookmarkStart w:id="18" w:name="_Toc233574865"/>
      <w:r w:rsidRPr="00242DFB">
        <w:rPr>
          <w:rFonts w:ascii="Arial" w:hAnsi="Arial" w:cs="Arial"/>
          <w:color w:val="auto"/>
          <w:sz w:val="24"/>
          <w:szCs w:val="24"/>
        </w:rPr>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5</w:t>
      </w:r>
      <w:r w:rsidRPr="00242DFB">
        <w:rPr>
          <w:rFonts w:ascii="Arial" w:hAnsi="Arial" w:cs="Arial"/>
          <w:color w:val="auto"/>
          <w:sz w:val="24"/>
          <w:szCs w:val="24"/>
        </w:rPr>
        <w:fldChar w:fldCharType="end"/>
      </w:r>
      <w:r w:rsidRPr="00242DFB">
        <w:rPr>
          <w:rFonts w:ascii="Arial" w:hAnsi="Arial" w:cs="Arial"/>
          <w:color w:val="auto"/>
          <w:sz w:val="24"/>
          <w:szCs w:val="24"/>
        </w:rPr>
        <w:t xml:space="preserve">. </w:t>
      </w:r>
      <w:r w:rsidRPr="00242DFB">
        <w:rPr>
          <w:rFonts w:ascii="Arial" w:hAnsi="Arial" w:cs="Arial"/>
          <w:color w:val="auto"/>
          <w:sz w:val="24"/>
          <w:szCs w:val="24"/>
        </w:rPr>
        <w:t>Afiliados Capital Salud EPS-S en Soacha por régimen 2021-2025</w:t>
      </w:r>
      <w:bookmarkEnd w:id="18"/>
    </w:p>
    <w:tbl>
      <w:tblPr>
        <w:tblStyle w:val="Tablaconcuadrcula"/>
        <w:tblW w:w="9285" w:type="dxa"/>
        <w:jc w:val="center"/>
        <w:tblLayout w:type="fixed"/>
        <w:tblCellMar>
          <w:top w:w="15" w:type="dxa"/>
          <w:left w:w="15" w:type="dxa"/>
          <w:right w:w="15" w:type="dxa"/>
        </w:tblCellMar>
        <w:tblLook w:val="06A0" w:firstRow="1" w:lastRow="0" w:firstColumn="1" w:lastColumn="0" w:noHBand="1" w:noVBand="1"/>
      </w:tblPr>
      <w:tblGrid>
        <w:gridCol w:w="1280"/>
        <w:gridCol w:w="788"/>
        <w:gridCol w:w="942"/>
        <w:gridCol w:w="761"/>
        <w:gridCol w:w="719"/>
        <w:gridCol w:w="788"/>
        <w:gridCol w:w="786"/>
        <w:gridCol w:w="788"/>
        <w:gridCol w:w="716"/>
        <w:gridCol w:w="771"/>
        <w:gridCol w:w="946"/>
      </w:tblGrid>
      <w:tr w:rsidR="009F762E" w:rsidRPr="00242DFB" w14:paraId="78161C12" w14:textId="77777777" w:rsidTr="00E117C1">
        <w:trPr>
          <w:cantSplit/>
          <w:trHeight w:val="221"/>
          <w:jc w:val="center"/>
        </w:trPr>
        <w:tc>
          <w:tcPr>
            <w:tcW w:w="1280" w:type="dxa"/>
            <w:vMerge w:val="restart"/>
            <w:tcBorders>
              <w:right w:val="single" w:sz="8" w:space="0" w:color="000000"/>
            </w:tcBorders>
            <w:vAlign w:val="center"/>
          </w:tcPr>
          <w:p w14:paraId="531EFA6D"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Municipio</w:t>
            </w:r>
            <w:r w:rsidRPr="00242DFB">
              <w:rPr>
                <w:rFonts w:ascii="Arial" w:eastAsia="Arial" w:hAnsi="Arial" w:cs="Arial"/>
                <w:color w:val="000000" w:themeColor="text1"/>
                <w:kern w:val="2"/>
              </w:rPr>
              <w:t xml:space="preserve"> </w:t>
            </w:r>
          </w:p>
        </w:tc>
        <w:tc>
          <w:tcPr>
            <w:tcW w:w="1730" w:type="dxa"/>
            <w:gridSpan w:val="2"/>
            <w:tcBorders>
              <w:left w:val="single" w:sz="8" w:space="0" w:color="000000"/>
              <w:bottom w:val="single" w:sz="8" w:space="0" w:color="000000"/>
              <w:right w:val="single" w:sz="8" w:space="0" w:color="000000"/>
            </w:tcBorders>
            <w:vAlign w:val="center"/>
          </w:tcPr>
          <w:p w14:paraId="667A0C6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2021</w:t>
            </w:r>
            <w:r w:rsidRPr="00242DFB">
              <w:rPr>
                <w:rFonts w:ascii="Arial" w:eastAsia="Arial" w:hAnsi="Arial" w:cs="Arial"/>
                <w:color w:val="000000" w:themeColor="text1"/>
                <w:kern w:val="2"/>
              </w:rPr>
              <w:t xml:space="preserve"> </w:t>
            </w:r>
          </w:p>
        </w:tc>
        <w:tc>
          <w:tcPr>
            <w:tcW w:w="1480" w:type="dxa"/>
            <w:gridSpan w:val="2"/>
            <w:tcBorders>
              <w:left w:val="nil"/>
              <w:bottom w:val="single" w:sz="8" w:space="0" w:color="000000"/>
              <w:right w:val="single" w:sz="8" w:space="0" w:color="000000"/>
            </w:tcBorders>
            <w:vAlign w:val="center"/>
          </w:tcPr>
          <w:p w14:paraId="7339A47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2022</w:t>
            </w:r>
            <w:r w:rsidRPr="00242DFB">
              <w:rPr>
                <w:rFonts w:ascii="Arial" w:eastAsia="Arial" w:hAnsi="Arial" w:cs="Arial"/>
                <w:color w:val="000000" w:themeColor="text1"/>
                <w:kern w:val="2"/>
              </w:rPr>
              <w:t xml:space="preserve"> </w:t>
            </w:r>
          </w:p>
        </w:tc>
        <w:tc>
          <w:tcPr>
            <w:tcW w:w="1574" w:type="dxa"/>
            <w:gridSpan w:val="2"/>
            <w:tcBorders>
              <w:left w:val="nil"/>
              <w:bottom w:val="single" w:sz="8" w:space="0" w:color="000000"/>
              <w:right w:val="single" w:sz="8" w:space="0" w:color="000000"/>
            </w:tcBorders>
            <w:vAlign w:val="center"/>
          </w:tcPr>
          <w:p w14:paraId="0567C1D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2023</w:t>
            </w:r>
            <w:r w:rsidRPr="00242DFB">
              <w:rPr>
                <w:rFonts w:ascii="Arial" w:eastAsia="Arial" w:hAnsi="Arial" w:cs="Arial"/>
                <w:color w:val="000000" w:themeColor="text1"/>
                <w:kern w:val="2"/>
              </w:rPr>
              <w:t xml:space="preserve"> </w:t>
            </w:r>
          </w:p>
        </w:tc>
        <w:tc>
          <w:tcPr>
            <w:tcW w:w="1504" w:type="dxa"/>
            <w:gridSpan w:val="2"/>
            <w:tcBorders>
              <w:left w:val="nil"/>
              <w:bottom w:val="single" w:sz="8" w:space="0" w:color="000000"/>
              <w:right w:val="single" w:sz="8" w:space="0" w:color="000000"/>
            </w:tcBorders>
            <w:vAlign w:val="center"/>
          </w:tcPr>
          <w:p w14:paraId="78848077"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2024</w:t>
            </w:r>
            <w:r w:rsidRPr="00242DFB">
              <w:rPr>
                <w:rFonts w:ascii="Arial" w:eastAsia="Arial" w:hAnsi="Arial" w:cs="Arial"/>
                <w:color w:val="000000" w:themeColor="text1"/>
                <w:kern w:val="2"/>
              </w:rPr>
              <w:t xml:space="preserve"> </w:t>
            </w:r>
          </w:p>
        </w:tc>
        <w:tc>
          <w:tcPr>
            <w:tcW w:w="1717" w:type="dxa"/>
            <w:gridSpan w:val="2"/>
            <w:tcBorders>
              <w:left w:val="nil"/>
              <w:bottom w:val="single" w:sz="8" w:space="0" w:color="000000"/>
            </w:tcBorders>
            <w:vAlign w:val="center"/>
          </w:tcPr>
          <w:p w14:paraId="0E413EE2"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2025</w:t>
            </w:r>
            <w:r w:rsidRPr="00242DFB">
              <w:rPr>
                <w:rFonts w:ascii="Arial" w:eastAsia="Arial" w:hAnsi="Arial" w:cs="Arial"/>
                <w:color w:val="000000" w:themeColor="text1"/>
                <w:kern w:val="2"/>
              </w:rPr>
              <w:t xml:space="preserve"> </w:t>
            </w:r>
          </w:p>
        </w:tc>
      </w:tr>
      <w:tr w:rsidR="009F762E" w:rsidRPr="00242DFB" w14:paraId="69E420AD" w14:textId="77777777" w:rsidTr="00E117C1">
        <w:trPr>
          <w:cantSplit/>
          <w:trHeight w:val="695"/>
          <w:jc w:val="center"/>
        </w:trPr>
        <w:tc>
          <w:tcPr>
            <w:tcW w:w="1280" w:type="dxa"/>
            <w:vMerge/>
            <w:tcMar>
              <w:top w:w="0" w:type="dxa"/>
              <w:left w:w="108" w:type="dxa"/>
              <w:right w:w="108" w:type="dxa"/>
            </w:tcMar>
          </w:tcPr>
          <w:p w14:paraId="033FD2AF" w14:textId="77777777" w:rsidR="009F762E" w:rsidRPr="00242DFB" w:rsidRDefault="009F762E" w:rsidP="005B2285">
            <w:pPr>
              <w:spacing w:line="360" w:lineRule="auto"/>
              <w:rPr>
                <w:rFonts w:ascii="Arial" w:hAnsi="Arial" w:cs="Arial"/>
                <w:color w:val="000000" w:themeColor="text1"/>
              </w:rPr>
            </w:pPr>
          </w:p>
        </w:tc>
        <w:tc>
          <w:tcPr>
            <w:tcW w:w="788" w:type="dxa"/>
            <w:tcBorders>
              <w:top w:val="single" w:sz="8" w:space="0" w:color="000000"/>
              <w:left w:val="single" w:sz="8" w:space="0" w:color="000000"/>
              <w:bottom w:val="single" w:sz="8" w:space="0" w:color="000000"/>
              <w:right w:val="single" w:sz="8" w:space="0" w:color="000000"/>
            </w:tcBorders>
            <w:vAlign w:val="center"/>
          </w:tcPr>
          <w:p w14:paraId="428225A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Subs.</w:t>
            </w:r>
            <w:r w:rsidRPr="00242DFB">
              <w:rPr>
                <w:rFonts w:ascii="Arial" w:eastAsia="Arial" w:hAnsi="Arial" w:cs="Arial"/>
                <w:color w:val="000000" w:themeColor="text1"/>
                <w:kern w:val="2"/>
              </w:rPr>
              <w:t xml:space="preserve"> </w:t>
            </w:r>
          </w:p>
        </w:tc>
        <w:tc>
          <w:tcPr>
            <w:tcW w:w="942" w:type="dxa"/>
            <w:tcBorders>
              <w:top w:val="nil"/>
              <w:left w:val="single" w:sz="8" w:space="0" w:color="000000"/>
              <w:bottom w:val="single" w:sz="8" w:space="0" w:color="000000"/>
              <w:right w:val="single" w:sz="8" w:space="0" w:color="000000"/>
            </w:tcBorders>
            <w:vAlign w:val="center"/>
          </w:tcPr>
          <w:p w14:paraId="15EBDD67"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Cont.</w:t>
            </w:r>
            <w:r w:rsidRPr="00242DFB">
              <w:rPr>
                <w:rFonts w:ascii="Arial" w:eastAsia="Arial" w:hAnsi="Arial" w:cs="Arial"/>
                <w:color w:val="000000" w:themeColor="text1"/>
                <w:kern w:val="2"/>
              </w:rPr>
              <w:t xml:space="preserve"> </w:t>
            </w:r>
          </w:p>
        </w:tc>
        <w:tc>
          <w:tcPr>
            <w:tcW w:w="761" w:type="dxa"/>
            <w:tcBorders>
              <w:top w:val="single" w:sz="8" w:space="0" w:color="000000"/>
              <w:left w:val="single" w:sz="8" w:space="0" w:color="000000"/>
              <w:bottom w:val="single" w:sz="8" w:space="0" w:color="000000"/>
              <w:right w:val="single" w:sz="8" w:space="0" w:color="000000"/>
            </w:tcBorders>
            <w:vAlign w:val="center"/>
          </w:tcPr>
          <w:p w14:paraId="14997F74"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Subs.</w:t>
            </w:r>
            <w:r w:rsidRPr="00242DFB">
              <w:rPr>
                <w:rFonts w:ascii="Arial" w:eastAsia="Arial" w:hAnsi="Arial" w:cs="Arial"/>
                <w:color w:val="000000" w:themeColor="text1"/>
                <w:kern w:val="2"/>
              </w:rPr>
              <w:t xml:space="preserve"> </w:t>
            </w:r>
          </w:p>
        </w:tc>
        <w:tc>
          <w:tcPr>
            <w:tcW w:w="719" w:type="dxa"/>
            <w:tcBorders>
              <w:top w:val="nil"/>
              <w:left w:val="single" w:sz="8" w:space="0" w:color="000000"/>
              <w:bottom w:val="single" w:sz="8" w:space="0" w:color="000000"/>
              <w:right w:val="single" w:sz="8" w:space="0" w:color="000000"/>
            </w:tcBorders>
            <w:vAlign w:val="center"/>
          </w:tcPr>
          <w:p w14:paraId="5FBB401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Cont.</w:t>
            </w:r>
            <w:r w:rsidRPr="00242DFB">
              <w:rPr>
                <w:rFonts w:ascii="Arial" w:eastAsia="Arial" w:hAnsi="Arial" w:cs="Arial"/>
                <w:color w:val="000000" w:themeColor="text1"/>
                <w:kern w:val="2"/>
              </w:rPr>
              <w:t xml:space="preserve"> </w:t>
            </w:r>
          </w:p>
        </w:tc>
        <w:tc>
          <w:tcPr>
            <w:tcW w:w="788" w:type="dxa"/>
            <w:tcBorders>
              <w:top w:val="single" w:sz="8" w:space="0" w:color="000000"/>
              <w:left w:val="single" w:sz="8" w:space="0" w:color="000000"/>
              <w:bottom w:val="single" w:sz="8" w:space="0" w:color="000000"/>
              <w:right w:val="single" w:sz="8" w:space="0" w:color="000000"/>
            </w:tcBorders>
            <w:vAlign w:val="center"/>
          </w:tcPr>
          <w:p w14:paraId="2D974A24"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Subs.</w:t>
            </w:r>
            <w:r w:rsidRPr="00242DFB">
              <w:rPr>
                <w:rFonts w:ascii="Arial" w:eastAsia="Arial" w:hAnsi="Arial" w:cs="Arial"/>
                <w:color w:val="000000" w:themeColor="text1"/>
                <w:kern w:val="2"/>
              </w:rPr>
              <w:t xml:space="preserve"> </w:t>
            </w:r>
          </w:p>
        </w:tc>
        <w:tc>
          <w:tcPr>
            <w:tcW w:w="786" w:type="dxa"/>
            <w:tcBorders>
              <w:top w:val="nil"/>
              <w:left w:val="single" w:sz="8" w:space="0" w:color="000000"/>
              <w:bottom w:val="single" w:sz="8" w:space="0" w:color="000000"/>
              <w:right w:val="single" w:sz="8" w:space="0" w:color="000000"/>
            </w:tcBorders>
            <w:vAlign w:val="center"/>
          </w:tcPr>
          <w:p w14:paraId="200403FF"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Cont.</w:t>
            </w:r>
            <w:r w:rsidRPr="00242DFB">
              <w:rPr>
                <w:rFonts w:ascii="Arial" w:eastAsia="Arial" w:hAnsi="Arial" w:cs="Arial"/>
                <w:color w:val="000000" w:themeColor="text1"/>
                <w:kern w:val="2"/>
              </w:rPr>
              <w:t xml:space="preserve"> </w:t>
            </w:r>
          </w:p>
        </w:tc>
        <w:tc>
          <w:tcPr>
            <w:tcW w:w="788" w:type="dxa"/>
            <w:tcBorders>
              <w:top w:val="single" w:sz="8" w:space="0" w:color="000000"/>
              <w:left w:val="single" w:sz="8" w:space="0" w:color="000000"/>
              <w:bottom w:val="single" w:sz="8" w:space="0" w:color="000000"/>
              <w:right w:val="single" w:sz="8" w:space="0" w:color="000000"/>
            </w:tcBorders>
            <w:vAlign w:val="center"/>
          </w:tcPr>
          <w:p w14:paraId="551A1AF6"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Subs.</w:t>
            </w:r>
            <w:r w:rsidRPr="00242DFB">
              <w:rPr>
                <w:rFonts w:ascii="Arial" w:eastAsia="Arial" w:hAnsi="Arial" w:cs="Arial"/>
                <w:color w:val="000000" w:themeColor="text1"/>
                <w:kern w:val="2"/>
              </w:rPr>
              <w:t xml:space="preserve"> </w:t>
            </w:r>
          </w:p>
        </w:tc>
        <w:tc>
          <w:tcPr>
            <w:tcW w:w="716" w:type="dxa"/>
            <w:tcBorders>
              <w:top w:val="nil"/>
              <w:left w:val="single" w:sz="8" w:space="0" w:color="000000"/>
              <w:bottom w:val="single" w:sz="8" w:space="0" w:color="000000"/>
              <w:right w:val="single" w:sz="8" w:space="0" w:color="000000"/>
            </w:tcBorders>
            <w:vAlign w:val="center"/>
          </w:tcPr>
          <w:p w14:paraId="65893A96"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Cont.</w:t>
            </w:r>
            <w:r w:rsidRPr="00242DFB">
              <w:rPr>
                <w:rFonts w:ascii="Arial" w:eastAsia="Arial" w:hAnsi="Arial" w:cs="Arial"/>
                <w:color w:val="000000" w:themeColor="text1"/>
                <w:kern w:val="2"/>
              </w:rPr>
              <w:t xml:space="preserve"> </w:t>
            </w:r>
          </w:p>
        </w:tc>
        <w:tc>
          <w:tcPr>
            <w:tcW w:w="771" w:type="dxa"/>
            <w:tcBorders>
              <w:top w:val="single" w:sz="8" w:space="0" w:color="000000"/>
              <w:left w:val="single" w:sz="8" w:space="0" w:color="000000"/>
              <w:bottom w:val="single" w:sz="8" w:space="0" w:color="000000"/>
              <w:right w:val="single" w:sz="8" w:space="0" w:color="000000"/>
            </w:tcBorders>
            <w:vAlign w:val="center"/>
          </w:tcPr>
          <w:p w14:paraId="5C9989E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Subs.</w:t>
            </w:r>
            <w:r w:rsidRPr="00242DFB">
              <w:rPr>
                <w:rFonts w:ascii="Arial" w:eastAsia="Arial" w:hAnsi="Arial" w:cs="Arial"/>
                <w:color w:val="000000" w:themeColor="text1"/>
                <w:kern w:val="2"/>
              </w:rPr>
              <w:t xml:space="preserve"> </w:t>
            </w:r>
          </w:p>
        </w:tc>
        <w:tc>
          <w:tcPr>
            <w:tcW w:w="946" w:type="dxa"/>
            <w:tcBorders>
              <w:top w:val="nil"/>
              <w:left w:val="single" w:sz="8" w:space="0" w:color="000000"/>
              <w:bottom w:val="single" w:sz="8" w:space="0" w:color="000000"/>
            </w:tcBorders>
            <w:vAlign w:val="center"/>
          </w:tcPr>
          <w:p w14:paraId="094CFF2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Rég. Cont.</w:t>
            </w:r>
            <w:r w:rsidRPr="00242DFB">
              <w:rPr>
                <w:rFonts w:ascii="Arial" w:eastAsia="Arial" w:hAnsi="Arial" w:cs="Arial"/>
                <w:color w:val="000000" w:themeColor="text1"/>
                <w:kern w:val="2"/>
              </w:rPr>
              <w:t xml:space="preserve"> </w:t>
            </w:r>
          </w:p>
        </w:tc>
      </w:tr>
      <w:tr w:rsidR="009F762E" w:rsidRPr="00242DFB" w14:paraId="2D50F650" w14:textId="77777777" w:rsidTr="00E117C1">
        <w:trPr>
          <w:cantSplit/>
          <w:trHeight w:val="355"/>
          <w:jc w:val="center"/>
        </w:trPr>
        <w:tc>
          <w:tcPr>
            <w:tcW w:w="1280" w:type="dxa"/>
            <w:tcBorders>
              <w:top w:val="nil"/>
              <w:bottom w:val="single" w:sz="8" w:space="0" w:color="000000"/>
              <w:right w:val="single" w:sz="8" w:space="0" w:color="000000"/>
            </w:tcBorders>
            <w:vAlign w:val="center"/>
          </w:tcPr>
          <w:p w14:paraId="6FC67392"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themeColor="text1"/>
                <w:kern w:val="2"/>
              </w:rPr>
              <w:t xml:space="preserve">Soacha </w:t>
            </w:r>
          </w:p>
        </w:tc>
        <w:tc>
          <w:tcPr>
            <w:tcW w:w="788" w:type="dxa"/>
            <w:tcBorders>
              <w:top w:val="single" w:sz="8" w:space="0" w:color="000000"/>
              <w:left w:val="single" w:sz="8" w:space="0" w:color="000000"/>
              <w:bottom w:val="single" w:sz="8" w:space="0" w:color="000000"/>
              <w:right w:val="single" w:sz="8" w:space="0" w:color="000000"/>
            </w:tcBorders>
            <w:vAlign w:val="center"/>
          </w:tcPr>
          <w:p w14:paraId="2B4CA95E"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kern w:val="2"/>
              </w:rPr>
              <w:t>0</w:t>
            </w:r>
          </w:p>
        </w:tc>
        <w:tc>
          <w:tcPr>
            <w:tcW w:w="942" w:type="dxa"/>
            <w:tcBorders>
              <w:top w:val="single" w:sz="8" w:space="0" w:color="000000"/>
              <w:left w:val="single" w:sz="8" w:space="0" w:color="000000"/>
              <w:bottom w:val="single" w:sz="8" w:space="0" w:color="000000"/>
              <w:right w:val="single" w:sz="8" w:space="0" w:color="000000"/>
            </w:tcBorders>
            <w:vAlign w:val="center"/>
          </w:tcPr>
          <w:p w14:paraId="370A426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kern w:val="2"/>
              </w:rPr>
              <w:t>0</w:t>
            </w:r>
          </w:p>
        </w:tc>
        <w:tc>
          <w:tcPr>
            <w:tcW w:w="761" w:type="dxa"/>
            <w:tcBorders>
              <w:top w:val="single" w:sz="8" w:space="0" w:color="000000"/>
              <w:left w:val="single" w:sz="8" w:space="0" w:color="000000"/>
              <w:bottom w:val="single" w:sz="8" w:space="0" w:color="000000"/>
              <w:right w:val="single" w:sz="8" w:space="0" w:color="000000"/>
            </w:tcBorders>
            <w:vAlign w:val="center"/>
          </w:tcPr>
          <w:p w14:paraId="1FA25FA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kern w:val="2"/>
              </w:rPr>
              <w:t>1</w:t>
            </w:r>
          </w:p>
        </w:tc>
        <w:tc>
          <w:tcPr>
            <w:tcW w:w="719" w:type="dxa"/>
            <w:tcBorders>
              <w:top w:val="single" w:sz="8" w:space="0" w:color="000000"/>
              <w:left w:val="single" w:sz="8" w:space="0" w:color="000000"/>
              <w:bottom w:val="single" w:sz="8" w:space="0" w:color="000000"/>
              <w:right w:val="single" w:sz="8" w:space="0" w:color="000000"/>
            </w:tcBorders>
            <w:vAlign w:val="center"/>
          </w:tcPr>
          <w:p w14:paraId="333C7BA3"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kern w:val="2"/>
              </w:rPr>
              <w:t>0</w:t>
            </w:r>
          </w:p>
        </w:tc>
        <w:tc>
          <w:tcPr>
            <w:tcW w:w="788" w:type="dxa"/>
            <w:tcBorders>
              <w:top w:val="single" w:sz="8" w:space="0" w:color="000000"/>
              <w:left w:val="single" w:sz="8" w:space="0" w:color="000000"/>
              <w:bottom w:val="single" w:sz="8" w:space="0" w:color="000000"/>
              <w:right w:val="single" w:sz="8" w:space="0" w:color="000000"/>
            </w:tcBorders>
            <w:vAlign w:val="center"/>
          </w:tcPr>
          <w:p w14:paraId="325FDA42"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kern w:val="2"/>
              </w:rPr>
              <w:t>4.189</w:t>
            </w:r>
          </w:p>
        </w:tc>
        <w:tc>
          <w:tcPr>
            <w:tcW w:w="786" w:type="dxa"/>
            <w:tcBorders>
              <w:top w:val="single" w:sz="8" w:space="0" w:color="000000"/>
              <w:left w:val="single" w:sz="8" w:space="0" w:color="000000"/>
              <w:bottom w:val="single" w:sz="8" w:space="0" w:color="000000"/>
              <w:right w:val="single" w:sz="8" w:space="0" w:color="000000"/>
            </w:tcBorders>
            <w:vAlign w:val="center"/>
          </w:tcPr>
          <w:p w14:paraId="2244D8BD"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kern w:val="2"/>
              </w:rPr>
              <w:t>605</w:t>
            </w:r>
          </w:p>
        </w:tc>
        <w:tc>
          <w:tcPr>
            <w:tcW w:w="788" w:type="dxa"/>
            <w:tcBorders>
              <w:top w:val="single" w:sz="8" w:space="0" w:color="000000"/>
              <w:left w:val="single" w:sz="8" w:space="0" w:color="000000"/>
              <w:bottom w:val="single" w:sz="8" w:space="0" w:color="000000"/>
              <w:right w:val="single" w:sz="8" w:space="0" w:color="000000"/>
            </w:tcBorders>
            <w:vAlign w:val="center"/>
          </w:tcPr>
          <w:p w14:paraId="463B9E6E"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kern w:val="2"/>
              </w:rPr>
              <w:t>6.326</w:t>
            </w:r>
          </w:p>
        </w:tc>
        <w:tc>
          <w:tcPr>
            <w:tcW w:w="716" w:type="dxa"/>
            <w:tcBorders>
              <w:top w:val="single" w:sz="8" w:space="0" w:color="000000"/>
              <w:left w:val="single" w:sz="8" w:space="0" w:color="000000"/>
              <w:bottom w:val="single" w:sz="8" w:space="0" w:color="000000"/>
              <w:right w:val="single" w:sz="8" w:space="0" w:color="000000"/>
            </w:tcBorders>
            <w:vAlign w:val="center"/>
          </w:tcPr>
          <w:p w14:paraId="7839BEA5"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kern w:val="2"/>
              </w:rPr>
              <w:t xml:space="preserve">760 </w:t>
            </w:r>
          </w:p>
        </w:tc>
        <w:tc>
          <w:tcPr>
            <w:tcW w:w="771" w:type="dxa"/>
            <w:tcBorders>
              <w:top w:val="single" w:sz="8" w:space="0" w:color="000000"/>
              <w:left w:val="single" w:sz="8" w:space="0" w:color="000000"/>
              <w:bottom w:val="single" w:sz="8" w:space="0" w:color="000000"/>
              <w:right w:val="single" w:sz="8" w:space="0" w:color="000000"/>
            </w:tcBorders>
            <w:vAlign w:val="center"/>
          </w:tcPr>
          <w:p w14:paraId="5A53B43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kern w:val="2"/>
              </w:rPr>
              <w:t xml:space="preserve">9.909 </w:t>
            </w:r>
          </w:p>
        </w:tc>
        <w:tc>
          <w:tcPr>
            <w:tcW w:w="946" w:type="dxa"/>
            <w:tcBorders>
              <w:top w:val="single" w:sz="8" w:space="0" w:color="000000"/>
              <w:left w:val="single" w:sz="8" w:space="0" w:color="000000"/>
              <w:bottom w:val="single" w:sz="8" w:space="0" w:color="000000"/>
              <w:right w:val="single" w:sz="8" w:space="0" w:color="000000"/>
            </w:tcBorders>
            <w:vAlign w:val="center"/>
          </w:tcPr>
          <w:p w14:paraId="583611AD" w14:textId="585E5553"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kern w:val="2"/>
              </w:rPr>
              <w:t>1</w:t>
            </w:r>
            <w:r w:rsidR="00C14D90" w:rsidRPr="00242DFB">
              <w:rPr>
                <w:rFonts w:ascii="Arial" w:eastAsia="Arial" w:hAnsi="Arial" w:cs="Arial"/>
                <w:color w:val="000000" w:themeColor="text1"/>
                <w:kern w:val="2"/>
              </w:rPr>
              <w:t>.</w:t>
            </w:r>
            <w:r w:rsidRPr="00242DFB">
              <w:rPr>
                <w:rFonts w:ascii="Arial" w:eastAsia="Arial" w:hAnsi="Arial" w:cs="Arial"/>
                <w:color w:val="000000" w:themeColor="text1"/>
                <w:kern w:val="2"/>
              </w:rPr>
              <w:t xml:space="preserve">050 </w:t>
            </w:r>
          </w:p>
        </w:tc>
      </w:tr>
    </w:tbl>
    <w:p w14:paraId="16061416" w14:textId="77777777" w:rsidR="009F762E" w:rsidRPr="00242DFB" w:rsidRDefault="00000000" w:rsidP="005B2285">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 xml:space="preserve">Fuentes: Ministerio de Salud y Protección Social. Cifras de afiliación en salud, corte a 31-12-2025. </w:t>
      </w:r>
      <w:hyperlink r:id="rId17">
        <w:r w:rsidRPr="00242DFB">
          <w:rPr>
            <w:rStyle w:val="Hipervnculo"/>
            <w:rFonts w:ascii="Arial" w:eastAsia="Arial" w:hAnsi="Arial" w:cs="Arial"/>
            <w:color w:val="000000" w:themeColor="text1"/>
            <w:sz w:val="16"/>
            <w:szCs w:val="16"/>
          </w:rPr>
          <w:t>https://public.tableau.com/app/profile/minsaludcol/viz/CifrasAseguramientoenSalud_16166927767750/Aseguramiento</w:t>
        </w:r>
      </w:hyperlink>
    </w:p>
    <w:p w14:paraId="023D4C3D"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04A27523"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De lo anteriormente expuesto, se observa que el municipio de Soacha, con corte a diciembre de 2025, registra 10.959 usuarios afiliados a Capital Salud EPS-S, de los cuales el 90,42% corresponde al régimen subsidiado y el 9,58% al régimen contributivo.</w:t>
      </w:r>
    </w:p>
    <w:p w14:paraId="6774834D"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7BDE0BA8"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Este comportamiento sugiere una presión relevante sobre la red de prestación en el entorno de Bogotá, especialmente por el crecimiento de afiliados en Soacha y por la alta concentración en régimen subsidiado. Para Capital Salud EPS-S, esto implica fortalecer la suficiencia de red, la oportunidad en citas y autorizaciones, la gestión de referencia y contrarreferencia, y la continuidad de tratamientos para población que, aunque reside en municipios vecinos, puede demandar servicios de mediana y alta complejidad en Bogotá.</w:t>
      </w:r>
    </w:p>
    <w:p w14:paraId="10723621" w14:textId="77777777" w:rsidR="009F762E" w:rsidRPr="00242DFB" w:rsidRDefault="009F762E" w:rsidP="005B2285">
      <w:pPr>
        <w:spacing w:line="360" w:lineRule="auto"/>
        <w:jc w:val="both"/>
        <w:rPr>
          <w:rFonts w:ascii="Arial" w:eastAsia="Arial" w:hAnsi="Arial" w:cs="Arial"/>
          <w:color w:val="000000" w:themeColor="text1"/>
        </w:rPr>
      </w:pPr>
    </w:p>
    <w:p w14:paraId="08933A7A" w14:textId="77777777" w:rsidR="009F762E" w:rsidRPr="00242DFB" w:rsidRDefault="00000000" w:rsidP="005B2285">
      <w:pPr>
        <w:pStyle w:val="Ttulo2"/>
        <w:numPr>
          <w:ilvl w:val="1"/>
          <w:numId w:val="7"/>
        </w:numPr>
        <w:spacing w:before="0" w:line="360" w:lineRule="auto"/>
        <w:jc w:val="both"/>
        <w:rPr>
          <w:rFonts w:ascii="Arial" w:hAnsi="Arial" w:cs="Arial"/>
          <w:b/>
          <w:bCs/>
          <w:color w:val="000000" w:themeColor="text1"/>
          <w:sz w:val="24"/>
          <w:szCs w:val="24"/>
        </w:rPr>
      </w:pPr>
      <w:bookmarkStart w:id="19" w:name="__RefHeading___Toc8572_542869190"/>
      <w:bookmarkStart w:id="20" w:name="_Toc230853761"/>
      <w:bookmarkStart w:id="21" w:name="_Toc233574823"/>
      <w:bookmarkEnd w:id="19"/>
      <w:r w:rsidRPr="00242DFB">
        <w:rPr>
          <w:rFonts w:ascii="Arial" w:hAnsi="Arial" w:cs="Arial"/>
          <w:b/>
          <w:bCs/>
          <w:color w:val="000000"/>
          <w:sz w:val="24"/>
          <w:szCs w:val="24"/>
        </w:rPr>
        <w:t>Relación EPS – Ciudad</w:t>
      </w:r>
      <w:bookmarkEnd w:id="20"/>
      <w:bookmarkEnd w:id="21"/>
      <w:r w:rsidRPr="00242DFB">
        <w:rPr>
          <w:rFonts w:ascii="Arial" w:hAnsi="Arial" w:cs="Arial"/>
          <w:b/>
          <w:bCs/>
          <w:color w:val="000000"/>
          <w:sz w:val="24"/>
          <w:szCs w:val="24"/>
        </w:rPr>
        <w:t xml:space="preserve"> </w:t>
      </w:r>
    </w:p>
    <w:p w14:paraId="13370D6D" w14:textId="77777777" w:rsidR="009F762E" w:rsidRPr="00242DFB" w:rsidRDefault="009F762E" w:rsidP="005B2285">
      <w:pPr>
        <w:spacing w:line="360" w:lineRule="auto"/>
        <w:rPr>
          <w:rFonts w:ascii="Arial" w:hAnsi="Arial" w:cs="Arial"/>
          <w:color w:val="000000" w:themeColor="text1"/>
        </w:rPr>
      </w:pPr>
    </w:p>
    <w:p w14:paraId="420ABD6E"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lastRenderedPageBreak/>
        <w:t>Bogotá constituye el 78,3% del total de afiliados a Capital Salud, además de operar en 29 municipios del departamento del Meta que representan el 20,8% del total de afilados, en Cundinamarca solo opera en Soacha que representa el 1% del total de afiliados.</w:t>
      </w:r>
    </w:p>
    <w:p w14:paraId="17AE4F93" w14:textId="6258E806" w:rsidR="009F762E" w:rsidRPr="00242DFB" w:rsidRDefault="009F762E" w:rsidP="005B2285">
      <w:pPr>
        <w:spacing w:line="360" w:lineRule="auto"/>
        <w:jc w:val="center"/>
        <w:rPr>
          <w:rFonts w:ascii="Arial" w:eastAsia="Arial" w:hAnsi="Arial" w:cs="Arial"/>
          <w:color w:val="000000" w:themeColor="text1"/>
        </w:rPr>
      </w:pPr>
    </w:p>
    <w:p w14:paraId="3D53DBA2" w14:textId="320AC0C2" w:rsidR="0014328E" w:rsidRPr="00242DFB" w:rsidRDefault="0014328E" w:rsidP="005B2285">
      <w:pPr>
        <w:pStyle w:val="Descripcin"/>
        <w:keepNext/>
        <w:spacing w:after="0"/>
        <w:jc w:val="center"/>
        <w:rPr>
          <w:rFonts w:ascii="Arial" w:hAnsi="Arial" w:cs="Arial"/>
          <w:color w:val="auto"/>
          <w:sz w:val="24"/>
          <w:szCs w:val="24"/>
        </w:rPr>
      </w:pPr>
      <w:bookmarkStart w:id="22" w:name="_Toc233574866"/>
      <w:r w:rsidRPr="00242DFB">
        <w:rPr>
          <w:rFonts w:ascii="Arial" w:hAnsi="Arial" w:cs="Arial"/>
          <w:color w:val="auto"/>
          <w:sz w:val="24"/>
          <w:szCs w:val="24"/>
        </w:rPr>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6</w:t>
      </w:r>
      <w:r w:rsidRPr="00242DFB">
        <w:rPr>
          <w:rFonts w:ascii="Arial" w:hAnsi="Arial" w:cs="Arial"/>
          <w:color w:val="auto"/>
          <w:sz w:val="24"/>
          <w:szCs w:val="24"/>
        </w:rPr>
        <w:fldChar w:fldCharType="end"/>
      </w:r>
      <w:r w:rsidRPr="00242DFB">
        <w:rPr>
          <w:rFonts w:ascii="Arial" w:hAnsi="Arial" w:cs="Arial"/>
          <w:color w:val="auto"/>
          <w:sz w:val="24"/>
          <w:szCs w:val="24"/>
        </w:rPr>
        <w:t>. Afiliados por entidad territorial y participación de Capital Salud EPS-S, diciembre de 2025</w:t>
      </w:r>
      <w:bookmarkEnd w:id="22"/>
    </w:p>
    <w:tbl>
      <w:tblPr>
        <w:tblW w:w="9581" w:type="dxa"/>
        <w:jc w:val="center"/>
        <w:tblLayout w:type="fixed"/>
        <w:tblCellMar>
          <w:left w:w="70" w:type="dxa"/>
          <w:right w:w="70" w:type="dxa"/>
        </w:tblCellMar>
        <w:tblLook w:val="04A0" w:firstRow="1" w:lastRow="0" w:firstColumn="1" w:lastColumn="0" w:noHBand="0" w:noVBand="1"/>
      </w:tblPr>
      <w:tblGrid>
        <w:gridCol w:w="1908"/>
        <w:gridCol w:w="1982"/>
        <w:gridCol w:w="1703"/>
        <w:gridCol w:w="1560"/>
        <w:gridCol w:w="1354"/>
        <w:gridCol w:w="1074"/>
      </w:tblGrid>
      <w:tr w:rsidR="009F762E" w:rsidRPr="00242DFB" w14:paraId="416FDA8E" w14:textId="77777777" w:rsidTr="0014328E">
        <w:trPr>
          <w:cantSplit/>
          <w:trHeight w:val="331"/>
          <w:tblHeader/>
          <w:jc w:val="center"/>
        </w:trPr>
        <w:tc>
          <w:tcPr>
            <w:tcW w:w="1908" w:type="dxa"/>
            <w:tcBorders>
              <w:top w:val="single" w:sz="4" w:space="0" w:color="000000"/>
              <w:left w:val="single" w:sz="4" w:space="0" w:color="000000"/>
              <w:bottom w:val="single" w:sz="4" w:space="0" w:color="000000"/>
              <w:right w:val="single" w:sz="4" w:space="0" w:color="000000"/>
            </w:tcBorders>
            <w:vAlign w:val="center"/>
          </w:tcPr>
          <w:p w14:paraId="152F7167"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rPr>
              <w:t>Departamento</w:t>
            </w:r>
          </w:p>
        </w:tc>
        <w:tc>
          <w:tcPr>
            <w:tcW w:w="1981" w:type="dxa"/>
            <w:tcBorders>
              <w:top w:val="single" w:sz="4" w:space="0" w:color="000000"/>
              <w:left w:val="single" w:sz="4" w:space="0" w:color="000000"/>
              <w:bottom w:val="single" w:sz="4" w:space="0" w:color="000000"/>
              <w:right w:val="single" w:sz="4" w:space="0" w:color="000000"/>
            </w:tcBorders>
            <w:vAlign w:val="center"/>
          </w:tcPr>
          <w:p w14:paraId="581E3C55"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rPr>
              <w:t>Municipio</w:t>
            </w:r>
          </w:p>
        </w:tc>
        <w:tc>
          <w:tcPr>
            <w:tcW w:w="1703" w:type="dxa"/>
            <w:tcBorders>
              <w:top w:val="single" w:sz="4" w:space="0" w:color="000000"/>
              <w:left w:val="single" w:sz="4" w:space="0" w:color="000000"/>
              <w:bottom w:val="single" w:sz="4" w:space="0" w:color="000000"/>
              <w:right w:val="single" w:sz="4" w:space="0" w:color="000000"/>
            </w:tcBorders>
            <w:vAlign w:val="center"/>
          </w:tcPr>
          <w:p w14:paraId="1AFD6066"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rPr>
              <w:t>R. Contributivo</w:t>
            </w:r>
          </w:p>
        </w:tc>
        <w:tc>
          <w:tcPr>
            <w:tcW w:w="1560" w:type="dxa"/>
            <w:tcBorders>
              <w:top w:val="single" w:sz="4" w:space="0" w:color="000000"/>
              <w:left w:val="single" w:sz="4" w:space="0" w:color="000000"/>
              <w:bottom w:val="single" w:sz="4" w:space="0" w:color="000000"/>
              <w:right w:val="single" w:sz="4" w:space="0" w:color="000000"/>
            </w:tcBorders>
            <w:vAlign w:val="center"/>
          </w:tcPr>
          <w:p w14:paraId="0567E287"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rPr>
              <w:t>R. Subsidiado</w:t>
            </w:r>
          </w:p>
        </w:tc>
        <w:tc>
          <w:tcPr>
            <w:tcW w:w="1354" w:type="dxa"/>
            <w:tcBorders>
              <w:top w:val="single" w:sz="4" w:space="0" w:color="000000"/>
              <w:left w:val="single" w:sz="4" w:space="0" w:color="000000"/>
              <w:bottom w:val="single" w:sz="4" w:space="0" w:color="000000"/>
              <w:right w:val="single" w:sz="4" w:space="0" w:color="000000"/>
            </w:tcBorders>
            <w:vAlign w:val="center"/>
          </w:tcPr>
          <w:p w14:paraId="7D6A14BB" w14:textId="0AA6CD63" w:rsidR="009F762E" w:rsidRPr="00242DFB" w:rsidRDefault="0014328E"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rPr>
              <w:t>Total,</w:t>
            </w:r>
            <w:r w:rsidR="00000000" w:rsidRPr="00242DFB">
              <w:rPr>
                <w:rFonts w:ascii="Arial" w:eastAsia="Arial" w:hAnsi="Arial" w:cs="Arial"/>
                <w:b/>
                <w:bCs/>
                <w:color w:val="000000" w:themeColor="text1"/>
              </w:rPr>
              <w:t xml:space="preserve"> Afiliados</w:t>
            </w:r>
          </w:p>
        </w:tc>
        <w:tc>
          <w:tcPr>
            <w:tcW w:w="1074" w:type="dxa"/>
            <w:tcBorders>
              <w:top w:val="single" w:sz="4" w:space="0" w:color="000000"/>
              <w:left w:val="single" w:sz="4" w:space="0" w:color="000000"/>
              <w:bottom w:val="single" w:sz="4" w:space="0" w:color="000000"/>
              <w:right w:val="single" w:sz="4" w:space="0" w:color="000000"/>
            </w:tcBorders>
            <w:vAlign w:val="center"/>
          </w:tcPr>
          <w:p w14:paraId="69AA32E8"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rPr>
              <w:t>%</w:t>
            </w:r>
          </w:p>
        </w:tc>
      </w:tr>
      <w:tr w:rsidR="009F762E" w:rsidRPr="00242DFB" w14:paraId="6880A3C5" w14:textId="77777777" w:rsidTr="0014328E">
        <w:trPr>
          <w:cantSplit/>
          <w:trHeight w:val="117"/>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7B203F1E"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Antioquia</w:t>
            </w:r>
          </w:p>
        </w:tc>
        <w:tc>
          <w:tcPr>
            <w:tcW w:w="1981" w:type="dxa"/>
            <w:tcBorders>
              <w:top w:val="single" w:sz="4" w:space="0" w:color="000000"/>
              <w:left w:val="single" w:sz="4" w:space="0" w:color="000000"/>
              <w:bottom w:val="single" w:sz="4" w:space="0" w:color="000000"/>
              <w:right w:val="single" w:sz="4" w:space="0" w:color="000000"/>
            </w:tcBorders>
            <w:vAlign w:val="bottom"/>
          </w:tcPr>
          <w:p w14:paraId="1F225152"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Cocorná</w:t>
            </w:r>
          </w:p>
        </w:tc>
        <w:tc>
          <w:tcPr>
            <w:tcW w:w="1703" w:type="dxa"/>
            <w:tcBorders>
              <w:top w:val="single" w:sz="4" w:space="0" w:color="000000"/>
              <w:left w:val="single" w:sz="4" w:space="0" w:color="000000"/>
              <w:bottom w:val="single" w:sz="4" w:space="0" w:color="000000"/>
              <w:right w:val="single" w:sz="4" w:space="0" w:color="000000"/>
            </w:tcBorders>
            <w:vAlign w:val="bottom"/>
          </w:tcPr>
          <w:p w14:paraId="02966E2A"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 xml:space="preserve"> </w:t>
            </w:r>
          </w:p>
        </w:tc>
        <w:tc>
          <w:tcPr>
            <w:tcW w:w="1560" w:type="dxa"/>
            <w:tcBorders>
              <w:top w:val="single" w:sz="4" w:space="0" w:color="000000"/>
              <w:left w:val="single" w:sz="4" w:space="0" w:color="000000"/>
              <w:bottom w:val="single" w:sz="4" w:space="0" w:color="000000"/>
              <w:right w:val="single" w:sz="4" w:space="0" w:color="000000"/>
            </w:tcBorders>
            <w:vAlign w:val="bottom"/>
          </w:tcPr>
          <w:p w14:paraId="600CFDA6"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w:t>
            </w:r>
          </w:p>
        </w:tc>
        <w:tc>
          <w:tcPr>
            <w:tcW w:w="1354" w:type="dxa"/>
            <w:tcBorders>
              <w:top w:val="single" w:sz="4" w:space="0" w:color="000000"/>
              <w:left w:val="single" w:sz="4" w:space="0" w:color="000000"/>
              <w:bottom w:val="single" w:sz="4" w:space="0" w:color="000000"/>
              <w:right w:val="single" w:sz="4" w:space="0" w:color="000000"/>
            </w:tcBorders>
            <w:vAlign w:val="bottom"/>
          </w:tcPr>
          <w:p w14:paraId="6D6BB294"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w:t>
            </w:r>
          </w:p>
        </w:tc>
        <w:tc>
          <w:tcPr>
            <w:tcW w:w="1074" w:type="dxa"/>
            <w:tcBorders>
              <w:top w:val="single" w:sz="4" w:space="0" w:color="000000"/>
              <w:left w:val="single" w:sz="4" w:space="0" w:color="000000"/>
              <w:bottom w:val="single" w:sz="4" w:space="0" w:color="000000"/>
              <w:right w:val="single" w:sz="4" w:space="0" w:color="000000"/>
            </w:tcBorders>
            <w:vAlign w:val="bottom"/>
          </w:tcPr>
          <w:p w14:paraId="57AED079"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0,0%</w:t>
            </w:r>
          </w:p>
        </w:tc>
      </w:tr>
      <w:tr w:rsidR="009F762E" w:rsidRPr="00242DFB" w14:paraId="7D3D8045"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2A17B966"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Antioquia</w:t>
            </w:r>
          </w:p>
        </w:tc>
        <w:tc>
          <w:tcPr>
            <w:tcW w:w="1981" w:type="dxa"/>
            <w:tcBorders>
              <w:top w:val="single" w:sz="4" w:space="0" w:color="000000"/>
              <w:left w:val="single" w:sz="4" w:space="0" w:color="000000"/>
              <w:bottom w:val="single" w:sz="4" w:space="0" w:color="000000"/>
              <w:right w:val="single" w:sz="4" w:space="0" w:color="000000"/>
            </w:tcBorders>
            <w:vAlign w:val="bottom"/>
          </w:tcPr>
          <w:p w14:paraId="6B30490E"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Santa Fe de Antioquia</w:t>
            </w:r>
          </w:p>
        </w:tc>
        <w:tc>
          <w:tcPr>
            <w:tcW w:w="1703" w:type="dxa"/>
            <w:tcBorders>
              <w:top w:val="single" w:sz="4" w:space="0" w:color="000000"/>
              <w:left w:val="single" w:sz="4" w:space="0" w:color="000000"/>
              <w:bottom w:val="single" w:sz="4" w:space="0" w:color="000000"/>
              <w:right w:val="single" w:sz="4" w:space="0" w:color="000000"/>
            </w:tcBorders>
            <w:vAlign w:val="bottom"/>
          </w:tcPr>
          <w:p w14:paraId="366F9778"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w:t>
            </w:r>
          </w:p>
        </w:tc>
        <w:tc>
          <w:tcPr>
            <w:tcW w:w="1560" w:type="dxa"/>
            <w:tcBorders>
              <w:top w:val="single" w:sz="4" w:space="0" w:color="000000"/>
              <w:left w:val="single" w:sz="4" w:space="0" w:color="000000"/>
              <w:bottom w:val="single" w:sz="4" w:space="0" w:color="000000"/>
              <w:right w:val="single" w:sz="4" w:space="0" w:color="000000"/>
            </w:tcBorders>
            <w:vAlign w:val="bottom"/>
          </w:tcPr>
          <w:p w14:paraId="7212BA52"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 xml:space="preserve"> </w:t>
            </w:r>
          </w:p>
        </w:tc>
        <w:tc>
          <w:tcPr>
            <w:tcW w:w="1354" w:type="dxa"/>
            <w:tcBorders>
              <w:top w:val="single" w:sz="4" w:space="0" w:color="000000"/>
              <w:left w:val="single" w:sz="4" w:space="0" w:color="000000"/>
              <w:bottom w:val="single" w:sz="4" w:space="0" w:color="000000"/>
              <w:right w:val="single" w:sz="4" w:space="0" w:color="000000"/>
            </w:tcBorders>
            <w:vAlign w:val="bottom"/>
          </w:tcPr>
          <w:p w14:paraId="5382D2ED"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w:t>
            </w:r>
          </w:p>
        </w:tc>
        <w:tc>
          <w:tcPr>
            <w:tcW w:w="1074" w:type="dxa"/>
            <w:tcBorders>
              <w:top w:val="single" w:sz="4" w:space="0" w:color="000000"/>
              <w:left w:val="single" w:sz="4" w:space="0" w:color="000000"/>
              <w:bottom w:val="single" w:sz="4" w:space="0" w:color="000000"/>
              <w:right w:val="single" w:sz="4" w:space="0" w:color="000000"/>
            </w:tcBorders>
            <w:vAlign w:val="bottom"/>
          </w:tcPr>
          <w:p w14:paraId="5CE2A0BE"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0,0%</w:t>
            </w:r>
          </w:p>
        </w:tc>
      </w:tr>
      <w:tr w:rsidR="009F762E" w:rsidRPr="00242DFB" w14:paraId="2E48F8AE"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3B6EE2CF"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Bogotá, D.C.</w:t>
            </w:r>
          </w:p>
        </w:tc>
        <w:tc>
          <w:tcPr>
            <w:tcW w:w="1981" w:type="dxa"/>
            <w:tcBorders>
              <w:top w:val="single" w:sz="4" w:space="0" w:color="000000"/>
              <w:left w:val="single" w:sz="4" w:space="0" w:color="000000"/>
              <w:bottom w:val="single" w:sz="4" w:space="0" w:color="000000"/>
              <w:right w:val="single" w:sz="4" w:space="0" w:color="000000"/>
            </w:tcBorders>
            <w:vAlign w:val="bottom"/>
          </w:tcPr>
          <w:p w14:paraId="27FFEFE6"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Bogotá, D.C.</w:t>
            </w:r>
          </w:p>
        </w:tc>
        <w:tc>
          <w:tcPr>
            <w:tcW w:w="1703" w:type="dxa"/>
            <w:tcBorders>
              <w:top w:val="single" w:sz="4" w:space="0" w:color="000000"/>
              <w:left w:val="single" w:sz="4" w:space="0" w:color="000000"/>
              <w:bottom w:val="single" w:sz="4" w:space="0" w:color="000000"/>
              <w:right w:val="single" w:sz="4" w:space="0" w:color="000000"/>
            </w:tcBorders>
            <w:vAlign w:val="bottom"/>
          </w:tcPr>
          <w:p w14:paraId="20A31616"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61.595</w:t>
            </w:r>
          </w:p>
        </w:tc>
        <w:tc>
          <w:tcPr>
            <w:tcW w:w="1560" w:type="dxa"/>
            <w:tcBorders>
              <w:top w:val="single" w:sz="4" w:space="0" w:color="000000"/>
              <w:left w:val="single" w:sz="4" w:space="0" w:color="000000"/>
              <w:bottom w:val="single" w:sz="4" w:space="0" w:color="000000"/>
              <w:right w:val="single" w:sz="4" w:space="0" w:color="000000"/>
            </w:tcBorders>
            <w:vAlign w:val="bottom"/>
          </w:tcPr>
          <w:p w14:paraId="2B930111"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820.341</w:t>
            </w:r>
          </w:p>
        </w:tc>
        <w:tc>
          <w:tcPr>
            <w:tcW w:w="1354" w:type="dxa"/>
            <w:tcBorders>
              <w:top w:val="single" w:sz="4" w:space="0" w:color="000000"/>
              <w:left w:val="single" w:sz="4" w:space="0" w:color="000000"/>
              <w:bottom w:val="single" w:sz="4" w:space="0" w:color="000000"/>
              <w:right w:val="single" w:sz="4" w:space="0" w:color="000000"/>
            </w:tcBorders>
            <w:vAlign w:val="bottom"/>
          </w:tcPr>
          <w:p w14:paraId="419CB00F"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881.936</w:t>
            </w:r>
          </w:p>
        </w:tc>
        <w:tc>
          <w:tcPr>
            <w:tcW w:w="1074" w:type="dxa"/>
            <w:tcBorders>
              <w:top w:val="single" w:sz="4" w:space="0" w:color="000000"/>
              <w:left w:val="single" w:sz="4" w:space="0" w:color="000000"/>
              <w:bottom w:val="single" w:sz="4" w:space="0" w:color="000000"/>
              <w:right w:val="single" w:sz="4" w:space="0" w:color="000000"/>
            </w:tcBorders>
            <w:vAlign w:val="bottom"/>
          </w:tcPr>
          <w:p w14:paraId="331B02D8"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78,3%</w:t>
            </w:r>
          </w:p>
        </w:tc>
      </w:tr>
      <w:tr w:rsidR="009F762E" w:rsidRPr="00242DFB" w14:paraId="66B3298D" w14:textId="77777777" w:rsidTr="0014328E">
        <w:trPr>
          <w:cantSplit/>
          <w:trHeight w:val="81"/>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4078E761"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Cundinamarca</w:t>
            </w:r>
          </w:p>
        </w:tc>
        <w:tc>
          <w:tcPr>
            <w:tcW w:w="1981" w:type="dxa"/>
            <w:tcBorders>
              <w:top w:val="single" w:sz="4" w:space="0" w:color="000000"/>
              <w:left w:val="single" w:sz="4" w:space="0" w:color="000000"/>
              <w:bottom w:val="single" w:sz="4" w:space="0" w:color="000000"/>
              <w:right w:val="single" w:sz="4" w:space="0" w:color="000000"/>
            </w:tcBorders>
            <w:vAlign w:val="bottom"/>
          </w:tcPr>
          <w:p w14:paraId="7951489B"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Soacha</w:t>
            </w:r>
          </w:p>
        </w:tc>
        <w:tc>
          <w:tcPr>
            <w:tcW w:w="1703" w:type="dxa"/>
            <w:tcBorders>
              <w:top w:val="single" w:sz="4" w:space="0" w:color="000000"/>
              <w:left w:val="single" w:sz="4" w:space="0" w:color="000000"/>
              <w:bottom w:val="single" w:sz="4" w:space="0" w:color="000000"/>
              <w:right w:val="single" w:sz="4" w:space="0" w:color="000000"/>
            </w:tcBorders>
            <w:vAlign w:val="bottom"/>
          </w:tcPr>
          <w:p w14:paraId="3E5B5061"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1.050</w:t>
            </w:r>
          </w:p>
        </w:tc>
        <w:tc>
          <w:tcPr>
            <w:tcW w:w="1560" w:type="dxa"/>
            <w:tcBorders>
              <w:top w:val="single" w:sz="4" w:space="0" w:color="000000"/>
              <w:left w:val="single" w:sz="4" w:space="0" w:color="000000"/>
              <w:bottom w:val="single" w:sz="4" w:space="0" w:color="000000"/>
              <w:right w:val="single" w:sz="4" w:space="0" w:color="000000"/>
            </w:tcBorders>
            <w:vAlign w:val="bottom"/>
          </w:tcPr>
          <w:p w14:paraId="50276CA2"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9.909</w:t>
            </w:r>
          </w:p>
        </w:tc>
        <w:tc>
          <w:tcPr>
            <w:tcW w:w="1354" w:type="dxa"/>
            <w:tcBorders>
              <w:top w:val="single" w:sz="4" w:space="0" w:color="000000"/>
              <w:left w:val="single" w:sz="4" w:space="0" w:color="000000"/>
              <w:bottom w:val="single" w:sz="4" w:space="0" w:color="000000"/>
              <w:right w:val="single" w:sz="4" w:space="0" w:color="000000"/>
            </w:tcBorders>
            <w:vAlign w:val="bottom"/>
          </w:tcPr>
          <w:p w14:paraId="137F6310"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10.959</w:t>
            </w:r>
          </w:p>
        </w:tc>
        <w:tc>
          <w:tcPr>
            <w:tcW w:w="1074" w:type="dxa"/>
            <w:tcBorders>
              <w:top w:val="single" w:sz="4" w:space="0" w:color="000000"/>
              <w:left w:val="single" w:sz="4" w:space="0" w:color="000000"/>
              <w:bottom w:val="single" w:sz="4" w:space="0" w:color="000000"/>
              <w:right w:val="single" w:sz="4" w:space="0" w:color="000000"/>
            </w:tcBorders>
            <w:vAlign w:val="bottom"/>
          </w:tcPr>
          <w:p w14:paraId="190818FC"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1,0%</w:t>
            </w:r>
          </w:p>
        </w:tc>
      </w:tr>
      <w:tr w:rsidR="009F762E" w:rsidRPr="00242DFB" w14:paraId="0CB439EC"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024DF44C"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03A1B492"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Acacías</w:t>
            </w:r>
          </w:p>
        </w:tc>
        <w:tc>
          <w:tcPr>
            <w:tcW w:w="1703" w:type="dxa"/>
            <w:tcBorders>
              <w:top w:val="single" w:sz="4" w:space="0" w:color="000000"/>
              <w:left w:val="single" w:sz="4" w:space="0" w:color="000000"/>
              <w:bottom w:val="single" w:sz="4" w:space="0" w:color="000000"/>
              <w:right w:val="single" w:sz="4" w:space="0" w:color="000000"/>
            </w:tcBorders>
            <w:vAlign w:val="bottom"/>
          </w:tcPr>
          <w:p w14:paraId="6D98F7EA"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2.410</w:t>
            </w:r>
          </w:p>
        </w:tc>
        <w:tc>
          <w:tcPr>
            <w:tcW w:w="1560" w:type="dxa"/>
            <w:tcBorders>
              <w:top w:val="single" w:sz="4" w:space="0" w:color="000000"/>
              <w:left w:val="single" w:sz="4" w:space="0" w:color="000000"/>
              <w:bottom w:val="single" w:sz="4" w:space="0" w:color="000000"/>
              <w:right w:val="single" w:sz="4" w:space="0" w:color="000000"/>
            </w:tcBorders>
            <w:vAlign w:val="bottom"/>
          </w:tcPr>
          <w:p w14:paraId="206BC9A8"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17.231</w:t>
            </w:r>
          </w:p>
        </w:tc>
        <w:tc>
          <w:tcPr>
            <w:tcW w:w="1354" w:type="dxa"/>
            <w:tcBorders>
              <w:top w:val="single" w:sz="4" w:space="0" w:color="000000"/>
              <w:left w:val="single" w:sz="4" w:space="0" w:color="000000"/>
              <w:bottom w:val="single" w:sz="4" w:space="0" w:color="000000"/>
              <w:right w:val="single" w:sz="4" w:space="0" w:color="000000"/>
            </w:tcBorders>
            <w:vAlign w:val="bottom"/>
          </w:tcPr>
          <w:p w14:paraId="6223EDBF"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19.641</w:t>
            </w:r>
          </w:p>
        </w:tc>
        <w:tc>
          <w:tcPr>
            <w:tcW w:w="1074" w:type="dxa"/>
            <w:tcBorders>
              <w:top w:val="single" w:sz="4" w:space="0" w:color="000000"/>
              <w:left w:val="single" w:sz="4" w:space="0" w:color="000000"/>
              <w:bottom w:val="single" w:sz="4" w:space="0" w:color="000000"/>
              <w:right w:val="single" w:sz="4" w:space="0" w:color="000000"/>
            </w:tcBorders>
            <w:vAlign w:val="bottom"/>
          </w:tcPr>
          <w:p w14:paraId="1764AFAD"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1,7%</w:t>
            </w:r>
          </w:p>
        </w:tc>
      </w:tr>
      <w:tr w:rsidR="009F762E" w:rsidRPr="00242DFB" w14:paraId="491348D1"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791EBD71"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2B56866C"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 xml:space="preserve">Barranca De </w:t>
            </w:r>
            <w:proofErr w:type="spellStart"/>
            <w:r w:rsidRPr="00242DFB">
              <w:rPr>
                <w:rFonts w:ascii="Arial" w:eastAsia="Arial" w:hAnsi="Arial" w:cs="Arial"/>
                <w:color w:val="000000" w:themeColor="text1"/>
              </w:rPr>
              <w:t>Upía</w:t>
            </w:r>
            <w:proofErr w:type="spellEnd"/>
          </w:p>
        </w:tc>
        <w:tc>
          <w:tcPr>
            <w:tcW w:w="1703" w:type="dxa"/>
            <w:tcBorders>
              <w:top w:val="single" w:sz="4" w:space="0" w:color="000000"/>
              <w:left w:val="single" w:sz="4" w:space="0" w:color="000000"/>
              <w:bottom w:val="single" w:sz="4" w:space="0" w:color="000000"/>
              <w:right w:val="single" w:sz="4" w:space="0" w:color="000000"/>
            </w:tcBorders>
            <w:vAlign w:val="bottom"/>
          </w:tcPr>
          <w:p w14:paraId="316FA624"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561</w:t>
            </w:r>
          </w:p>
        </w:tc>
        <w:tc>
          <w:tcPr>
            <w:tcW w:w="1560" w:type="dxa"/>
            <w:tcBorders>
              <w:top w:val="single" w:sz="4" w:space="0" w:color="000000"/>
              <w:left w:val="single" w:sz="4" w:space="0" w:color="000000"/>
              <w:bottom w:val="single" w:sz="4" w:space="0" w:color="000000"/>
              <w:right w:val="single" w:sz="4" w:space="0" w:color="000000"/>
            </w:tcBorders>
            <w:vAlign w:val="bottom"/>
          </w:tcPr>
          <w:p w14:paraId="234582CE"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2.784</w:t>
            </w:r>
          </w:p>
        </w:tc>
        <w:tc>
          <w:tcPr>
            <w:tcW w:w="1354" w:type="dxa"/>
            <w:tcBorders>
              <w:top w:val="single" w:sz="4" w:space="0" w:color="000000"/>
              <w:left w:val="single" w:sz="4" w:space="0" w:color="000000"/>
              <w:bottom w:val="single" w:sz="4" w:space="0" w:color="000000"/>
              <w:right w:val="single" w:sz="4" w:space="0" w:color="000000"/>
            </w:tcBorders>
            <w:vAlign w:val="bottom"/>
          </w:tcPr>
          <w:p w14:paraId="3CB7D681"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3.345</w:t>
            </w:r>
          </w:p>
        </w:tc>
        <w:tc>
          <w:tcPr>
            <w:tcW w:w="1074" w:type="dxa"/>
            <w:tcBorders>
              <w:top w:val="single" w:sz="4" w:space="0" w:color="000000"/>
              <w:left w:val="single" w:sz="4" w:space="0" w:color="000000"/>
              <w:bottom w:val="single" w:sz="4" w:space="0" w:color="000000"/>
              <w:right w:val="single" w:sz="4" w:space="0" w:color="000000"/>
            </w:tcBorders>
            <w:vAlign w:val="bottom"/>
          </w:tcPr>
          <w:p w14:paraId="73ACD925"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0,3%</w:t>
            </w:r>
          </w:p>
        </w:tc>
      </w:tr>
      <w:tr w:rsidR="009F762E" w:rsidRPr="00242DFB" w14:paraId="5075F88C" w14:textId="77777777" w:rsidTr="0014328E">
        <w:trPr>
          <w:cantSplit/>
          <w:trHeight w:val="177"/>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03DD54D1"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5D0B9610"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Cabuyaro</w:t>
            </w:r>
          </w:p>
        </w:tc>
        <w:tc>
          <w:tcPr>
            <w:tcW w:w="1703" w:type="dxa"/>
            <w:tcBorders>
              <w:top w:val="single" w:sz="4" w:space="0" w:color="000000"/>
              <w:left w:val="single" w:sz="4" w:space="0" w:color="000000"/>
              <w:bottom w:val="single" w:sz="4" w:space="0" w:color="000000"/>
              <w:right w:val="single" w:sz="4" w:space="0" w:color="000000"/>
            </w:tcBorders>
            <w:vAlign w:val="bottom"/>
          </w:tcPr>
          <w:p w14:paraId="2088D03C"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623</w:t>
            </w:r>
          </w:p>
        </w:tc>
        <w:tc>
          <w:tcPr>
            <w:tcW w:w="1560" w:type="dxa"/>
            <w:tcBorders>
              <w:top w:val="single" w:sz="4" w:space="0" w:color="000000"/>
              <w:left w:val="single" w:sz="4" w:space="0" w:color="000000"/>
              <w:bottom w:val="single" w:sz="4" w:space="0" w:color="000000"/>
              <w:right w:val="single" w:sz="4" w:space="0" w:color="000000"/>
            </w:tcBorders>
            <w:vAlign w:val="bottom"/>
          </w:tcPr>
          <w:p w14:paraId="3BA96145"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2.433</w:t>
            </w:r>
          </w:p>
        </w:tc>
        <w:tc>
          <w:tcPr>
            <w:tcW w:w="1354" w:type="dxa"/>
            <w:tcBorders>
              <w:top w:val="single" w:sz="4" w:space="0" w:color="000000"/>
              <w:left w:val="single" w:sz="4" w:space="0" w:color="000000"/>
              <w:bottom w:val="single" w:sz="4" w:space="0" w:color="000000"/>
              <w:right w:val="single" w:sz="4" w:space="0" w:color="000000"/>
            </w:tcBorders>
            <w:vAlign w:val="bottom"/>
          </w:tcPr>
          <w:p w14:paraId="6C0554E1"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3.056</w:t>
            </w:r>
          </w:p>
        </w:tc>
        <w:tc>
          <w:tcPr>
            <w:tcW w:w="1074" w:type="dxa"/>
            <w:tcBorders>
              <w:top w:val="single" w:sz="4" w:space="0" w:color="000000"/>
              <w:left w:val="single" w:sz="4" w:space="0" w:color="000000"/>
              <w:bottom w:val="single" w:sz="4" w:space="0" w:color="000000"/>
              <w:right w:val="single" w:sz="4" w:space="0" w:color="000000"/>
            </w:tcBorders>
            <w:vAlign w:val="bottom"/>
          </w:tcPr>
          <w:p w14:paraId="23961A26"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0,3%</w:t>
            </w:r>
          </w:p>
        </w:tc>
      </w:tr>
      <w:tr w:rsidR="009F762E" w:rsidRPr="00242DFB" w14:paraId="2DF30655"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58CCFD68"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4B2263DC"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Castilla La Nueva</w:t>
            </w:r>
          </w:p>
        </w:tc>
        <w:tc>
          <w:tcPr>
            <w:tcW w:w="1703" w:type="dxa"/>
            <w:tcBorders>
              <w:top w:val="single" w:sz="4" w:space="0" w:color="000000"/>
              <w:left w:val="single" w:sz="4" w:space="0" w:color="000000"/>
              <w:bottom w:val="single" w:sz="4" w:space="0" w:color="000000"/>
              <w:right w:val="single" w:sz="4" w:space="0" w:color="000000"/>
            </w:tcBorders>
            <w:vAlign w:val="bottom"/>
          </w:tcPr>
          <w:p w14:paraId="015DCA0A"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1.204</w:t>
            </w:r>
          </w:p>
        </w:tc>
        <w:tc>
          <w:tcPr>
            <w:tcW w:w="1560" w:type="dxa"/>
            <w:tcBorders>
              <w:top w:val="single" w:sz="4" w:space="0" w:color="000000"/>
              <w:left w:val="single" w:sz="4" w:space="0" w:color="000000"/>
              <w:bottom w:val="single" w:sz="4" w:space="0" w:color="000000"/>
              <w:right w:val="single" w:sz="4" w:space="0" w:color="000000"/>
            </w:tcBorders>
            <w:vAlign w:val="bottom"/>
          </w:tcPr>
          <w:p w14:paraId="061C9051"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3.974</w:t>
            </w:r>
          </w:p>
        </w:tc>
        <w:tc>
          <w:tcPr>
            <w:tcW w:w="1354" w:type="dxa"/>
            <w:tcBorders>
              <w:top w:val="single" w:sz="4" w:space="0" w:color="000000"/>
              <w:left w:val="single" w:sz="4" w:space="0" w:color="000000"/>
              <w:bottom w:val="single" w:sz="4" w:space="0" w:color="000000"/>
              <w:right w:val="single" w:sz="4" w:space="0" w:color="000000"/>
            </w:tcBorders>
            <w:vAlign w:val="bottom"/>
          </w:tcPr>
          <w:p w14:paraId="10D92D20"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5.178</w:t>
            </w:r>
          </w:p>
        </w:tc>
        <w:tc>
          <w:tcPr>
            <w:tcW w:w="1074" w:type="dxa"/>
            <w:tcBorders>
              <w:top w:val="single" w:sz="4" w:space="0" w:color="000000"/>
              <w:left w:val="single" w:sz="4" w:space="0" w:color="000000"/>
              <w:bottom w:val="single" w:sz="4" w:space="0" w:color="000000"/>
              <w:right w:val="single" w:sz="4" w:space="0" w:color="000000"/>
            </w:tcBorders>
            <w:vAlign w:val="bottom"/>
          </w:tcPr>
          <w:p w14:paraId="76A4DE59"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0,5%</w:t>
            </w:r>
          </w:p>
        </w:tc>
      </w:tr>
      <w:tr w:rsidR="009F762E" w:rsidRPr="00242DFB" w14:paraId="6068AD88"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5F46BCA0"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37BF267C"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Cubarral</w:t>
            </w:r>
          </w:p>
        </w:tc>
        <w:tc>
          <w:tcPr>
            <w:tcW w:w="1703" w:type="dxa"/>
            <w:tcBorders>
              <w:top w:val="single" w:sz="4" w:space="0" w:color="000000"/>
              <w:left w:val="single" w:sz="4" w:space="0" w:color="000000"/>
              <w:bottom w:val="single" w:sz="4" w:space="0" w:color="000000"/>
              <w:right w:val="single" w:sz="4" w:space="0" w:color="000000"/>
            </w:tcBorders>
            <w:vAlign w:val="bottom"/>
          </w:tcPr>
          <w:p w14:paraId="3B342D27"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57</w:t>
            </w:r>
          </w:p>
        </w:tc>
        <w:tc>
          <w:tcPr>
            <w:tcW w:w="1560" w:type="dxa"/>
            <w:tcBorders>
              <w:top w:val="single" w:sz="4" w:space="0" w:color="000000"/>
              <w:left w:val="single" w:sz="4" w:space="0" w:color="000000"/>
              <w:bottom w:val="single" w:sz="4" w:space="0" w:color="000000"/>
              <w:right w:val="single" w:sz="4" w:space="0" w:color="000000"/>
            </w:tcBorders>
            <w:vAlign w:val="bottom"/>
          </w:tcPr>
          <w:p w14:paraId="5BB4FD4B"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550</w:t>
            </w:r>
          </w:p>
        </w:tc>
        <w:tc>
          <w:tcPr>
            <w:tcW w:w="1354" w:type="dxa"/>
            <w:tcBorders>
              <w:top w:val="single" w:sz="4" w:space="0" w:color="000000"/>
              <w:left w:val="single" w:sz="4" w:space="0" w:color="000000"/>
              <w:bottom w:val="single" w:sz="4" w:space="0" w:color="000000"/>
              <w:right w:val="single" w:sz="4" w:space="0" w:color="000000"/>
            </w:tcBorders>
            <w:vAlign w:val="bottom"/>
          </w:tcPr>
          <w:p w14:paraId="49661511"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607</w:t>
            </w:r>
          </w:p>
        </w:tc>
        <w:tc>
          <w:tcPr>
            <w:tcW w:w="1074" w:type="dxa"/>
            <w:tcBorders>
              <w:top w:val="single" w:sz="4" w:space="0" w:color="000000"/>
              <w:left w:val="single" w:sz="4" w:space="0" w:color="000000"/>
              <w:bottom w:val="single" w:sz="4" w:space="0" w:color="000000"/>
              <w:right w:val="single" w:sz="4" w:space="0" w:color="000000"/>
            </w:tcBorders>
            <w:vAlign w:val="bottom"/>
          </w:tcPr>
          <w:p w14:paraId="6C42F973"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0,1%</w:t>
            </w:r>
          </w:p>
        </w:tc>
      </w:tr>
      <w:tr w:rsidR="009F762E" w:rsidRPr="00242DFB" w14:paraId="317D6EA7"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2AD624E2"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7451A9D8"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Cumaral</w:t>
            </w:r>
          </w:p>
        </w:tc>
        <w:tc>
          <w:tcPr>
            <w:tcW w:w="1703" w:type="dxa"/>
            <w:tcBorders>
              <w:top w:val="single" w:sz="4" w:space="0" w:color="000000"/>
              <w:left w:val="single" w:sz="4" w:space="0" w:color="000000"/>
              <w:bottom w:val="single" w:sz="4" w:space="0" w:color="000000"/>
              <w:right w:val="single" w:sz="4" w:space="0" w:color="000000"/>
            </w:tcBorders>
            <w:vAlign w:val="bottom"/>
          </w:tcPr>
          <w:p w14:paraId="7BEDC910"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90</w:t>
            </w:r>
          </w:p>
        </w:tc>
        <w:tc>
          <w:tcPr>
            <w:tcW w:w="1560" w:type="dxa"/>
            <w:tcBorders>
              <w:top w:val="single" w:sz="4" w:space="0" w:color="000000"/>
              <w:left w:val="single" w:sz="4" w:space="0" w:color="000000"/>
              <w:bottom w:val="single" w:sz="4" w:space="0" w:color="000000"/>
              <w:right w:val="single" w:sz="4" w:space="0" w:color="000000"/>
            </w:tcBorders>
            <w:vAlign w:val="bottom"/>
          </w:tcPr>
          <w:p w14:paraId="6C4765EB"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627</w:t>
            </w:r>
          </w:p>
        </w:tc>
        <w:tc>
          <w:tcPr>
            <w:tcW w:w="1354" w:type="dxa"/>
            <w:tcBorders>
              <w:top w:val="single" w:sz="4" w:space="0" w:color="000000"/>
              <w:left w:val="single" w:sz="4" w:space="0" w:color="000000"/>
              <w:bottom w:val="single" w:sz="4" w:space="0" w:color="000000"/>
              <w:right w:val="single" w:sz="4" w:space="0" w:color="000000"/>
            </w:tcBorders>
            <w:vAlign w:val="bottom"/>
          </w:tcPr>
          <w:p w14:paraId="0A1DD2FF"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717</w:t>
            </w:r>
          </w:p>
        </w:tc>
        <w:tc>
          <w:tcPr>
            <w:tcW w:w="1074" w:type="dxa"/>
            <w:tcBorders>
              <w:top w:val="single" w:sz="4" w:space="0" w:color="000000"/>
              <w:left w:val="single" w:sz="4" w:space="0" w:color="000000"/>
              <w:bottom w:val="single" w:sz="4" w:space="0" w:color="000000"/>
              <w:right w:val="single" w:sz="4" w:space="0" w:color="000000"/>
            </w:tcBorders>
            <w:vAlign w:val="bottom"/>
          </w:tcPr>
          <w:p w14:paraId="35344665"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0,1%</w:t>
            </w:r>
          </w:p>
        </w:tc>
      </w:tr>
      <w:tr w:rsidR="009F762E" w:rsidRPr="00242DFB" w14:paraId="49780955"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340ACDF7"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1D8C59A5"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El Calvario</w:t>
            </w:r>
          </w:p>
        </w:tc>
        <w:tc>
          <w:tcPr>
            <w:tcW w:w="1703" w:type="dxa"/>
            <w:tcBorders>
              <w:top w:val="single" w:sz="4" w:space="0" w:color="000000"/>
              <w:left w:val="single" w:sz="4" w:space="0" w:color="000000"/>
              <w:bottom w:val="single" w:sz="4" w:space="0" w:color="000000"/>
              <w:right w:val="single" w:sz="4" w:space="0" w:color="000000"/>
            </w:tcBorders>
            <w:vAlign w:val="bottom"/>
          </w:tcPr>
          <w:p w14:paraId="2C57CB69"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29</w:t>
            </w:r>
          </w:p>
        </w:tc>
        <w:tc>
          <w:tcPr>
            <w:tcW w:w="1560" w:type="dxa"/>
            <w:tcBorders>
              <w:top w:val="single" w:sz="4" w:space="0" w:color="000000"/>
              <w:left w:val="single" w:sz="4" w:space="0" w:color="000000"/>
              <w:bottom w:val="single" w:sz="4" w:space="0" w:color="000000"/>
              <w:right w:val="single" w:sz="4" w:space="0" w:color="000000"/>
            </w:tcBorders>
            <w:vAlign w:val="bottom"/>
          </w:tcPr>
          <w:p w14:paraId="3F234506"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403</w:t>
            </w:r>
          </w:p>
        </w:tc>
        <w:tc>
          <w:tcPr>
            <w:tcW w:w="1354" w:type="dxa"/>
            <w:tcBorders>
              <w:top w:val="single" w:sz="4" w:space="0" w:color="000000"/>
              <w:left w:val="single" w:sz="4" w:space="0" w:color="000000"/>
              <w:bottom w:val="single" w:sz="4" w:space="0" w:color="000000"/>
              <w:right w:val="single" w:sz="4" w:space="0" w:color="000000"/>
            </w:tcBorders>
            <w:vAlign w:val="bottom"/>
          </w:tcPr>
          <w:p w14:paraId="471BD4C4"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432</w:t>
            </w:r>
          </w:p>
        </w:tc>
        <w:tc>
          <w:tcPr>
            <w:tcW w:w="1074" w:type="dxa"/>
            <w:tcBorders>
              <w:top w:val="single" w:sz="4" w:space="0" w:color="000000"/>
              <w:left w:val="single" w:sz="4" w:space="0" w:color="000000"/>
              <w:bottom w:val="single" w:sz="4" w:space="0" w:color="000000"/>
              <w:right w:val="single" w:sz="4" w:space="0" w:color="000000"/>
            </w:tcBorders>
            <w:vAlign w:val="bottom"/>
          </w:tcPr>
          <w:p w14:paraId="11BE3806"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0,0%</w:t>
            </w:r>
          </w:p>
        </w:tc>
      </w:tr>
      <w:tr w:rsidR="009F762E" w:rsidRPr="00242DFB" w14:paraId="47B34BE3"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1D0AE2D7"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45AD073B"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El Castillo</w:t>
            </w:r>
          </w:p>
        </w:tc>
        <w:tc>
          <w:tcPr>
            <w:tcW w:w="1703" w:type="dxa"/>
            <w:tcBorders>
              <w:top w:val="single" w:sz="4" w:space="0" w:color="000000"/>
              <w:left w:val="single" w:sz="4" w:space="0" w:color="000000"/>
              <w:bottom w:val="single" w:sz="4" w:space="0" w:color="000000"/>
              <w:right w:val="single" w:sz="4" w:space="0" w:color="000000"/>
            </w:tcBorders>
            <w:vAlign w:val="bottom"/>
          </w:tcPr>
          <w:p w14:paraId="19FB33F5"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294</w:t>
            </w:r>
          </w:p>
        </w:tc>
        <w:tc>
          <w:tcPr>
            <w:tcW w:w="1560" w:type="dxa"/>
            <w:tcBorders>
              <w:top w:val="single" w:sz="4" w:space="0" w:color="000000"/>
              <w:left w:val="single" w:sz="4" w:space="0" w:color="000000"/>
              <w:bottom w:val="single" w:sz="4" w:space="0" w:color="000000"/>
              <w:right w:val="single" w:sz="4" w:space="0" w:color="000000"/>
            </w:tcBorders>
            <w:vAlign w:val="bottom"/>
          </w:tcPr>
          <w:p w14:paraId="55050975"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4.846</w:t>
            </w:r>
          </w:p>
        </w:tc>
        <w:tc>
          <w:tcPr>
            <w:tcW w:w="1354" w:type="dxa"/>
            <w:tcBorders>
              <w:top w:val="single" w:sz="4" w:space="0" w:color="000000"/>
              <w:left w:val="single" w:sz="4" w:space="0" w:color="000000"/>
              <w:bottom w:val="single" w:sz="4" w:space="0" w:color="000000"/>
              <w:right w:val="single" w:sz="4" w:space="0" w:color="000000"/>
            </w:tcBorders>
            <w:vAlign w:val="bottom"/>
          </w:tcPr>
          <w:p w14:paraId="3D48A3F9"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5.140</w:t>
            </w:r>
          </w:p>
        </w:tc>
        <w:tc>
          <w:tcPr>
            <w:tcW w:w="1074" w:type="dxa"/>
            <w:tcBorders>
              <w:top w:val="single" w:sz="4" w:space="0" w:color="000000"/>
              <w:left w:val="single" w:sz="4" w:space="0" w:color="000000"/>
              <w:bottom w:val="single" w:sz="4" w:space="0" w:color="000000"/>
              <w:right w:val="single" w:sz="4" w:space="0" w:color="000000"/>
            </w:tcBorders>
            <w:vAlign w:val="bottom"/>
          </w:tcPr>
          <w:p w14:paraId="26C75276"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0,5%</w:t>
            </w:r>
          </w:p>
        </w:tc>
      </w:tr>
      <w:tr w:rsidR="009F762E" w:rsidRPr="00242DFB" w14:paraId="3B195940" w14:textId="77777777" w:rsidTr="0014328E">
        <w:trPr>
          <w:cantSplit/>
          <w:trHeight w:val="57"/>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44732732"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10B379F1"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El Dorado</w:t>
            </w:r>
          </w:p>
        </w:tc>
        <w:tc>
          <w:tcPr>
            <w:tcW w:w="1703" w:type="dxa"/>
            <w:tcBorders>
              <w:top w:val="single" w:sz="4" w:space="0" w:color="000000"/>
              <w:left w:val="single" w:sz="4" w:space="0" w:color="000000"/>
              <w:bottom w:val="single" w:sz="4" w:space="0" w:color="000000"/>
              <w:right w:val="single" w:sz="4" w:space="0" w:color="000000"/>
            </w:tcBorders>
            <w:vAlign w:val="bottom"/>
          </w:tcPr>
          <w:p w14:paraId="5059BEAF"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215</w:t>
            </w:r>
          </w:p>
        </w:tc>
        <w:tc>
          <w:tcPr>
            <w:tcW w:w="1560" w:type="dxa"/>
            <w:tcBorders>
              <w:top w:val="single" w:sz="4" w:space="0" w:color="000000"/>
              <w:left w:val="single" w:sz="4" w:space="0" w:color="000000"/>
              <w:bottom w:val="single" w:sz="4" w:space="0" w:color="000000"/>
              <w:right w:val="single" w:sz="4" w:space="0" w:color="000000"/>
            </w:tcBorders>
            <w:vAlign w:val="bottom"/>
          </w:tcPr>
          <w:p w14:paraId="1DF518E4"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2.918</w:t>
            </w:r>
          </w:p>
        </w:tc>
        <w:tc>
          <w:tcPr>
            <w:tcW w:w="1354" w:type="dxa"/>
            <w:tcBorders>
              <w:top w:val="single" w:sz="4" w:space="0" w:color="000000"/>
              <w:left w:val="single" w:sz="4" w:space="0" w:color="000000"/>
              <w:bottom w:val="single" w:sz="4" w:space="0" w:color="000000"/>
              <w:right w:val="single" w:sz="4" w:space="0" w:color="000000"/>
            </w:tcBorders>
            <w:vAlign w:val="bottom"/>
          </w:tcPr>
          <w:p w14:paraId="5EC8AA15"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3.133</w:t>
            </w:r>
          </w:p>
        </w:tc>
        <w:tc>
          <w:tcPr>
            <w:tcW w:w="1074" w:type="dxa"/>
            <w:tcBorders>
              <w:top w:val="single" w:sz="4" w:space="0" w:color="000000"/>
              <w:left w:val="single" w:sz="4" w:space="0" w:color="000000"/>
              <w:bottom w:val="single" w:sz="4" w:space="0" w:color="000000"/>
              <w:right w:val="single" w:sz="4" w:space="0" w:color="000000"/>
            </w:tcBorders>
            <w:vAlign w:val="bottom"/>
          </w:tcPr>
          <w:p w14:paraId="5331DDDD"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0,3%</w:t>
            </w:r>
          </w:p>
        </w:tc>
      </w:tr>
      <w:tr w:rsidR="009F762E" w:rsidRPr="00242DFB" w14:paraId="17D2E646" w14:textId="77777777" w:rsidTr="0014328E">
        <w:trPr>
          <w:cantSplit/>
          <w:trHeight w:val="90"/>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5681D0A7"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4D2E7FCB"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Fuente De Oro</w:t>
            </w:r>
          </w:p>
        </w:tc>
        <w:tc>
          <w:tcPr>
            <w:tcW w:w="1703" w:type="dxa"/>
            <w:tcBorders>
              <w:top w:val="single" w:sz="4" w:space="0" w:color="000000"/>
              <w:left w:val="single" w:sz="4" w:space="0" w:color="000000"/>
              <w:bottom w:val="single" w:sz="4" w:space="0" w:color="000000"/>
              <w:right w:val="single" w:sz="4" w:space="0" w:color="000000"/>
            </w:tcBorders>
            <w:vAlign w:val="bottom"/>
          </w:tcPr>
          <w:p w14:paraId="0BE96285"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27</w:t>
            </w:r>
          </w:p>
        </w:tc>
        <w:tc>
          <w:tcPr>
            <w:tcW w:w="1560" w:type="dxa"/>
            <w:tcBorders>
              <w:top w:val="single" w:sz="4" w:space="0" w:color="000000"/>
              <w:left w:val="single" w:sz="4" w:space="0" w:color="000000"/>
              <w:bottom w:val="single" w:sz="4" w:space="0" w:color="000000"/>
              <w:right w:val="single" w:sz="4" w:space="0" w:color="000000"/>
            </w:tcBorders>
            <w:vAlign w:val="bottom"/>
          </w:tcPr>
          <w:p w14:paraId="13753EA4"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449</w:t>
            </w:r>
          </w:p>
        </w:tc>
        <w:tc>
          <w:tcPr>
            <w:tcW w:w="1354" w:type="dxa"/>
            <w:tcBorders>
              <w:top w:val="single" w:sz="4" w:space="0" w:color="000000"/>
              <w:left w:val="single" w:sz="4" w:space="0" w:color="000000"/>
              <w:bottom w:val="single" w:sz="4" w:space="0" w:color="000000"/>
              <w:right w:val="single" w:sz="4" w:space="0" w:color="000000"/>
            </w:tcBorders>
            <w:vAlign w:val="bottom"/>
          </w:tcPr>
          <w:p w14:paraId="13F0E782"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476</w:t>
            </w:r>
          </w:p>
        </w:tc>
        <w:tc>
          <w:tcPr>
            <w:tcW w:w="1074" w:type="dxa"/>
            <w:tcBorders>
              <w:top w:val="single" w:sz="4" w:space="0" w:color="000000"/>
              <w:left w:val="single" w:sz="4" w:space="0" w:color="000000"/>
              <w:bottom w:val="single" w:sz="4" w:space="0" w:color="000000"/>
              <w:right w:val="single" w:sz="4" w:space="0" w:color="000000"/>
            </w:tcBorders>
            <w:vAlign w:val="bottom"/>
          </w:tcPr>
          <w:p w14:paraId="1BEE161C"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0,0%</w:t>
            </w:r>
          </w:p>
        </w:tc>
      </w:tr>
      <w:tr w:rsidR="009F762E" w:rsidRPr="00242DFB" w14:paraId="6B2E8C1C"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10D8C474"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66F55262"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Granada</w:t>
            </w:r>
          </w:p>
        </w:tc>
        <w:tc>
          <w:tcPr>
            <w:tcW w:w="1703" w:type="dxa"/>
            <w:tcBorders>
              <w:top w:val="single" w:sz="4" w:space="0" w:color="000000"/>
              <w:left w:val="single" w:sz="4" w:space="0" w:color="000000"/>
              <w:bottom w:val="single" w:sz="4" w:space="0" w:color="000000"/>
              <w:right w:val="single" w:sz="4" w:space="0" w:color="000000"/>
            </w:tcBorders>
            <w:vAlign w:val="bottom"/>
          </w:tcPr>
          <w:p w14:paraId="6C6654F0"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2.515</w:t>
            </w:r>
          </w:p>
        </w:tc>
        <w:tc>
          <w:tcPr>
            <w:tcW w:w="1560" w:type="dxa"/>
            <w:tcBorders>
              <w:top w:val="single" w:sz="4" w:space="0" w:color="000000"/>
              <w:left w:val="single" w:sz="4" w:space="0" w:color="000000"/>
              <w:bottom w:val="single" w:sz="4" w:space="0" w:color="000000"/>
              <w:right w:val="single" w:sz="4" w:space="0" w:color="000000"/>
            </w:tcBorders>
            <w:vAlign w:val="bottom"/>
          </w:tcPr>
          <w:p w14:paraId="2CD56523"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31.423</w:t>
            </w:r>
          </w:p>
        </w:tc>
        <w:tc>
          <w:tcPr>
            <w:tcW w:w="1354" w:type="dxa"/>
            <w:tcBorders>
              <w:top w:val="single" w:sz="4" w:space="0" w:color="000000"/>
              <w:left w:val="single" w:sz="4" w:space="0" w:color="000000"/>
              <w:bottom w:val="single" w:sz="4" w:space="0" w:color="000000"/>
              <w:right w:val="single" w:sz="4" w:space="0" w:color="000000"/>
            </w:tcBorders>
            <w:vAlign w:val="bottom"/>
          </w:tcPr>
          <w:p w14:paraId="1195C390"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33.938</w:t>
            </w:r>
          </w:p>
        </w:tc>
        <w:tc>
          <w:tcPr>
            <w:tcW w:w="1074" w:type="dxa"/>
            <w:tcBorders>
              <w:top w:val="single" w:sz="4" w:space="0" w:color="000000"/>
              <w:left w:val="single" w:sz="4" w:space="0" w:color="000000"/>
              <w:bottom w:val="single" w:sz="4" w:space="0" w:color="000000"/>
              <w:right w:val="single" w:sz="4" w:space="0" w:color="000000"/>
            </w:tcBorders>
            <w:vAlign w:val="bottom"/>
          </w:tcPr>
          <w:p w14:paraId="397C289B"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3,0%</w:t>
            </w:r>
          </w:p>
        </w:tc>
      </w:tr>
      <w:tr w:rsidR="009F762E" w:rsidRPr="00242DFB" w14:paraId="7ACB104B"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73C20B26"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7632B01B"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Guamal</w:t>
            </w:r>
          </w:p>
        </w:tc>
        <w:tc>
          <w:tcPr>
            <w:tcW w:w="1703" w:type="dxa"/>
            <w:tcBorders>
              <w:top w:val="single" w:sz="4" w:space="0" w:color="000000"/>
              <w:left w:val="single" w:sz="4" w:space="0" w:color="000000"/>
              <w:bottom w:val="single" w:sz="4" w:space="0" w:color="000000"/>
              <w:right w:val="single" w:sz="4" w:space="0" w:color="000000"/>
            </w:tcBorders>
            <w:vAlign w:val="bottom"/>
          </w:tcPr>
          <w:p w14:paraId="119AED07"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695</w:t>
            </w:r>
          </w:p>
        </w:tc>
        <w:tc>
          <w:tcPr>
            <w:tcW w:w="1560" w:type="dxa"/>
            <w:tcBorders>
              <w:top w:val="single" w:sz="4" w:space="0" w:color="000000"/>
              <w:left w:val="single" w:sz="4" w:space="0" w:color="000000"/>
              <w:bottom w:val="single" w:sz="4" w:space="0" w:color="000000"/>
              <w:right w:val="single" w:sz="4" w:space="0" w:color="000000"/>
            </w:tcBorders>
            <w:vAlign w:val="bottom"/>
          </w:tcPr>
          <w:p w14:paraId="7F83EAB3"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4.007</w:t>
            </w:r>
          </w:p>
        </w:tc>
        <w:tc>
          <w:tcPr>
            <w:tcW w:w="1354" w:type="dxa"/>
            <w:tcBorders>
              <w:top w:val="single" w:sz="4" w:space="0" w:color="000000"/>
              <w:left w:val="single" w:sz="4" w:space="0" w:color="000000"/>
              <w:bottom w:val="single" w:sz="4" w:space="0" w:color="000000"/>
              <w:right w:val="single" w:sz="4" w:space="0" w:color="000000"/>
            </w:tcBorders>
            <w:vAlign w:val="bottom"/>
          </w:tcPr>
          <w:p w14:paraId="02CFC7F9"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4.702</w:t>
            </w:r>
          </w:p>
        </w:tc>
        <w:tc>
          <w:tcPr>
            <w:tcW w:w="1074" w:type="dxa"/>
            <w:tcBorders>
              <w:top w:val="single" w:sz="4" w:space="0" w:color="000000"/>
              <w:left w:val="single" w:sz="4" w:space="0" w:color="000000"/>
              <w:bottom w:val="single" w:sz="4" w:space="0" w:color="000000"/>
              <w:right w:val="single" w:sz="4" w:space="0" w:color="000000"/>
            </w:tcBorders>
            <w:vAlign w:val="bottom"/>
          </w:tcPr>
          <w:p w14:paraId="78374125"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0,4%</w:t>
            </w:r>
          </w:p>
        </w:tc>
      </w:tr>
      <w:tr w:rsidR="009F762E" w:rsidRPr="00242DFB" w14:paraId="70221826"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5B3CF4B9"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4C853134"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La Macarena</w:t>
            </w:r>
          </w:p>
        </w:tc>
        <w:tc>
          <w:tcPr>
            <w:tcW w:w="1703" w:type="dxa"/>
            <w:tcBorders>
              <w:top w:val="single" w:sz="4" w:space="0" w:color="000000"/>
              <w:left w:val="single" w:sz="4" w:space="0" w:color="000000"/>
              <w:bottom w:val="single" w:sz="4" w:space="0" w:color="000000"/>
              <w:right w:val="single" w:sz="4" w:space="0" w:color="000000"/>
            </w:tcBorders>
            <w:vAlign w:val="bottom"/>
          </w:tcPr>
          <w:p w14:paraId="2CBD631F"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596</w:t>
            </w:r>
          </w:p>
        </w:tc>
        <w:tc>
          <w:tcPr>
            <w:tcW w:w="1560" w:type="dxa"/>
            <w:tcBorders>
              <w:top w:val="single" w:sz="4" w:space="0" w:color="000000"/>
              <w:left w:val="single" w:sz="4" w:space="0" w:color="000000"/>
              <w:bottom w:val="single" w:sz="4" w:space="0" w:color="000000"/>
              <w:right w:val="single" w:sz="4" w:space="0" w:color="000000"/>
            </w:tcBorders>
            <w:vAlign w:val="bottom"/>
          </w:tcPr>
          <w:p w14:paraId="78905DD2"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9.846</w:t>
            </w:r>
          </w:p>
        </w:tc>
        <w:tc>
          <w:tcPr>
            <w:tcW w:w="1354" w:type="dxa"/>
            <w:tcBorders>
              <w:top w:val="single" w:sz="4" w:space="0" w:color="000000"/>
              <w:left w:val="single" w:sz="4" w:space="0" w:color="000000"/>
              <w:bottom w:val="single" w:sz="4" w:space="0" w:color="000000"/>
              <w:right w:val="single" w:sz="4" w:space="0" w:color="000000"/>
            </w:tcBorders>
            <w:vAlign w:val="bottom"/>
          </w:tcPr>
          <w:p w14:paraId="556C3F05"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10.442</w:t>
            </w:r>
          </w:p>
        </w:tc>
        <w:tc>
          <w:tcPr>
            <w:tcW w:w="1074" w:type="dxa"/>
            <w:tcBorders>
              <w:top w:val="single" w:sz="4" w:space="0" w:color="000000"/>
              <w:left w:val="single" w:sz="4" w:space="0" w:color="000000"/>
              <w:bottom w:val="single" w:sz="4" w:space="0" w:color="000000"/>
              <w:right w:val="single" w:sz="4" w:space="0" w:color="000000"/>
            </w:tcBorders>
            <w:vAlign w:val="bottom"/>
          </w:tcPr>
          <w:p w14:paraId="34BA74DD"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0,9%</w:t>
            </w:r>
          </w:p>
        </w:tc>
      </w:tr>
      <w:tr w:rsidR="009F762E" w:rsidRPr="00242DFB" w14:paraId="0191D218"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67057026"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56AC55DE"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Lejanías</w:t>
            </w:r>
          </w:p>
        </w:tc>
        <w:tc>
          <w:tcPr>
            <w:tcW w:w="1703" w:type="dxa"/>
            <w:tcBorders>
              <w:top w:val="single" w:sz="4" w:space="0" w:color="000000"/>
              <w:left w:val="single" w:sz="4" w:space="0" w:color="000000"/>
              <w:bottom w:val="single" w:sz="4" w:space="0" w:color="000000"/>
              <w:right w:val="single" w:sz="4" w:space="0" w:color="000000"/>
            </w:tcBorders>
            <w:vAlign w:val="bottom"/>
          </w:tcPr>
          <w:p w14:paraId="2C670D5A"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379</w:t>
            </w:r>
          </w:p>
        </w:tc>
        <w:tc>
          <w:tcPr>
            <w:tcW w:w="1560" w:type="dxa"/>
            <w:tcBorders>
              <w:top w:val="single" w:sz="4" w:space="0" w:color="000000"/>
              <w:left w:val="single" w:sz="4" w:space="0" w:color="000000"/>
              <w:bottom w:val="single" w:sz="4" w:space="0" w:color="000000"/>
              <w:right w:val="single" w:sz="4" w:space="0" w:color="000000"/>
            </w:tcBorders>
            <w:vAlign w:val="bottom"/>
          </w:tcPr>
          <w:p w14:paraId="0877F829"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8.117</w:t>
            </w:r>
          </w:p>
        </w:tc>
        <w:tc>
          <w:tcPr>
            <w:tcW w:w="1354" w:type="dxa"/>
            <w:tcBorders>
              <w:top w:val="single" w:sz="4" w:space="0" w:color="000000"/>
              <w:left w:val="single" w:sz="4" w:space="0" w:color="000000"/>
              <w:bottom w:val="single" w:sz="4" w:space="0" w:color="000000"/>
              <w:right w:val="single" w:sz="4" w:space="0" w:color="000000"/>
            </w:tcBorders>
            <w:vAlign w:val="bottom"/>
          </w:tcPr>
          <w:p w14:paraId="7D77F4CA"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8.496</w:t>
            </w:r>
          </w:p>
        </w:tc>
        <w:tc>
          <w:tcPr>
            <w:tcW w:w="1074" w:type="dxa"/>
            <w:tcBorders>
              <w:top w:val="single" w:sz="4" w:space="0" w:color="000000"/>
              <w:left w:val="single" w:sz="4" w:space="0" w:color="000000"/>
              <w:bottom w:val="single" w:sz="4" w:space="0" w:color="000000"/>
              <w:right w:val="single" w:sz="4" w:space="0" w:color="000000"/>
            </w:tcBorders>
            <w:vAlign w:val="bottom"/>
          </w:tcPr>
          <w:p w14:paraId="7DF6D68D"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0,8%</w:t>
            </w:r>
          </w:p>
        </w:tc>
      </w:tr>
      <w:tr w:rsidR="009F762E" w:rsidRPr="00242DFB" w14:paraId="6AA95FA5"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5235815D"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69B0B1CA"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Mapiripán</w:t>
            </w:r>
          </w:p>
        </w:tc>
        <w:tc>
          <w:tcPr>
            <w:tcW w:w="1703" w:type="dxa"/>
            <w:tcBorders>
              <w:top w:val="single" w:sz="4" w:space="0" w:color="000000"/>
              <w:left w:val="single" w:sz="4" w:space="0" w:color="000000"/>
              <w:bottom w:val="single" w:sz="4" w:space="0" w:color="000000"/>
              <w:right w:val="single" w:sz="4" w:space="0" w:color="000000"/>
            </w:tcBorders>
            <w:vAlign w:val="bottom"/>
          </w:tcPr>
          <w:p w14:paraId="3AA171FE"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729</w:t>
            </w:r>
          </w:p>
        </w:tc>
        <w:tc>
          <w:tcPr>
            <w:tcW w:w="1560" w:type="dxa"/>
            <w:tcBorders>
              <w:top w:val="single" w:sz="4" w:space="0" w:color="000000"/>
              <w:left w:val="single" w:sz="4" w:space="0" w:color="000000"/>
              <w:bottom w:val="single" w:sz="4" w:space="0" w:color="000000"/>
              <w:right w:val="single" w:sz="4" w:space="0" w:color="000000"/>
            </w:tcBorders>
            <w:vAlign w:val="bottom"/>
          </w:tcPr>
          <w:p w14:paraId="5E9EEE6B"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4.022</w:t>
            </w:r>
          </w:p>
        </w:tc>
        <w:tc>
          <w:tcPr>
            <w:tcW w:w="1354" w:type="dxa"/>
            <w:tcBorders>
              <w:top w:val="single" w:sz="4" w:space="0" w:color="000000"/>
              <w:left w:val="single" w:sz="4" w:space="0" w:color="000000"/>
              <w:bottom w:val="single" w:sz="4" w:space="0" w:color="000000"/>
              <w:right w:val="single" w:sz="4" w:space="0" w:color="000000"/>
            </w:tcBorders>
            <w:vAlign w:val="bottom"/>
          </w:tcPr>
          <w:p w14:paraId="122D7436"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4.751</w:t>
            </w:r>
          </w:p>
        </w:tc>
        <w:tc>
          <w:tcPr>
            <w:tcW w:w="1074" w:type="dxa"/>
            <w:tcBorders>
              <w:top w:val="single" w:sz="4" w:space="0" w:color="000000"/>
              <w:left w:val="single" w:sz="4" w:space="0" w:color="000000"/>
              <w:bottom w:val="single" w:sz="4" w:space="0" w:color="000000"/>
              <w:right w:val="single" w:sz="4" w:space="0" w:color="000000"/>
            </w:tcBorders>
            <w:vAlign w:val="bottom"/>
          </w:tcPr>
          <w:p w14:paraId="74D00053"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0,4%</w:t>
            </w:r>
          </w:p>
        </w:tc>
      </w:tr>
      <w:tr w:rsidR="009F762E" w:rsidRPr="00242DFB" w14:paraId="4E9C86C2"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7EC72191"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lastRenderedPageBreak/>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385FB5B5"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Mesetas</w:t>
            </w:r>
          </w:p>
        </w:tc>
        <w:tc>
          <w:tcPr>
            <w:tcW w:w="1703" w:type="dxa"/>
            <w:tcBorders>
              <w:top w:val="single" w:sz="4" w:space="0" w:color="000000"/>
              <w:left w:val="single" w:sz="4" w:space="0" w:color="000000"/>
              <w:bottom w:val="single" w:sz="4" w:space="0" w:color="000000"/>
              <w:right w:val="single" w:sz="4" w:space="0" w:color="000000"/>
            </w:tcBorders>
            <w:vAlign w:val="bottom"/>
          </w:tcPr>
          <w:p w14:paraId="4ACAA84F"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64</w:t>
            </w:r>
          </w:p>
        </w:tc>
        <w:tc>
          <w:tcPr>
            <w:tcW w:w="1560" w:type="dxa"/>
            <w:tcBorders>
              <w:top w:val="single" w:sz="4" w:space="0" w:color="000000"/>
              <w:left w:val="single" w:sz="4" w:space="0" w:color="000000"/>
              <w:bottom w:val="single" w:sz="4" w:space="0" w:color="000000"/>
              <w:right w:val="single" w:sz="4" w:space="0" w:color="000000"/>
            </w:tcBorders>
            <w:vAlign w:val="bottom"/>
          </w:tcPr>
          <w:p w14:paraId="5BA7CA72"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1.853</w:t>
            </w:r>
          </w:p>
        </w:tc>
        <w:tc>
          <w:tcPr>
            <w:tcW w:w="1354" w:type="dxa"/>
            <w:tcBorders>
              <w:top w:val="single" w:sz="4" w:space="0" w:color="000000"/>
              <w:left w:val="single" w:sz="4" w:space="0" w:color="000000"/>
              <w:bottom w:val="single" w:sz="4" w:space="0" w:color="000000"/>
              <w:right w:val="single" w:sz="4" w:space="0" w:color="000000"/>
            </w:tcBorders>
            <w:vAlign w:val="bottom"/>
          </w:tcPr>
          <w:p w14:paraId="4F0E58E5"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1.917</w:t>
            </w:r>
          </w:p>
        </w:tc>
        <w:tc>
          <w:tcPr>
            <w:tcW w:w="1074" w:type="dxa"/>
            <w:tcBorders>
              <w:top w:val="single" w:sz="4" w:space="0" w:color="000000"/>
              <w:left w:val="single" w:sz="4" w:space="0" w:color="000000"/>
              <w:bottom w:val="single" w:sz="4" w:space="0" w:color="000000"/>
              <w:right w:val="single" w:sz="4" w:space="0" w:color="000000"/>
            </w:tcBorders>
            <w:vAlign w:val="bottom"/>
          </w:tcPr>
          <w:p w14:paraId="74752F17"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0,2%</w:t>
            </w:r>
          </w:p>
        </w:tc>
      </w:tr>
      <w:tr w:rsidR="009F762E" w:rsidRPr="00242DFB" w14:paraId="77DA2243"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65EA8EA0"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726E7B45"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Puerto Concordia</w:t>
            </w:r>
          </w:p>
        </w:tc>
        <w:tc>
          <w:tcPr>
            <w:tcW w:w="1703" w:type="dxa"/>
            <w:tcBorders>
              <w:top w:val="single" w:sz="4" w:space="0" w:color="000000"/>
              <w:left w:val="single" w:sz="4" w:space="0" w:color="000000"/>
              <w:bottom w:val="single" w:sz="4" w:space="0" w:color="000000"/>
              <w:right w:val="single" w:sz="4" w:space="0" w:color="000000"/>
            </w:tcBorders>
            <w:vAlign w:val="bottom"/>
          </w:tcPr>
          <w:p w14:paraId="137BFC88"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16</w:t>
            </w:r>
          </w:p>
        </w:tc>
        <w:tc>
          <w:tcPr>
            <w:tcW w:w="1560" w:type="dxa"/>
            <w:tcBorders>
              <w:top w:val="single" w:sz="4" w:space="0" w:color="000000"/>
              <w:left w:val="single" w:sz="4" w:space="0" w:color="000000"/>
              <w:bottom w:val="single" w:sz="4" w:space="0" w:color="000000"/>
              <w:right w:val="single" w:sz="4" w:space="0" w:color="000000"/>
            </w:tcBorders>
            <w:vAlign w:val="bottom"/>
          </w:tcPr>
          <w:p w14:paraId="1693A7A1"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147</w:t>
            </w:r>
          </w:p>
        </w:tc>
        <w:tc>
          <w:tcPr>
            <w:tcW w:w="1354" w:type="dxa"/>
            <w:tcBorders>
              <w:top w:val="single" w:sz="4" w:space="0" w:color="000000"/>
              <w:left w:val="single" w:sz="4" w:space="0" w:color="000000"/>
              <w:bottom w:val="single" w:sz="4" w:space="0" w:color="000000"/>
              <w:right w:val="single" w:sz="4" w:space="0" w:color="000000"/>
            </w:tcBorders>
            <w:vAlign w:val="bottom"/>
          </w:tcPr>
          <w:p w14:paraId="39928423"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163</w:t>
            </w:r>
          </w:p>
        </w:tc>
        <w:tc>
          <w:tcPr>
            <w:tcW w:w="1074" w:type="dxa"/>
            <w:tcBorders>
              <w:top w:val="single" w:sz="4" w:space="0" w:color="000000"/>
              <w:left w:val="single" w:sz="4" w:space="0" w:color="000000"/>
              <w:bottom w:val="single" w:sz="4" w:space="0" w:color="000000"/>
              <w:right w:val="single" w:sz="4" w:space="0" w:color="000000"/>
            </w:tcBorders>
            <w:vAlign w:val="bottom"/>
          </w:tcPr>
          <w:p w14:paraId="44E3F27B"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0,0%</w:t>
            </w:r>
          </w:p>
        </w:tc>
      </w:tr>
      <w:tr w:rsidR="009F762E" w:rsidRPr="00242DFB" w14:paraId="658A5AFD"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06614C6B"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5DBD63E2"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Puerto Gaitán</w:t>
            </w:r>
          </w:p>
        </w:tc>
        <w:tc>
          <w:tcPr>
            <w:tcW w:w="1703" w:type="dxa"/>
            <w:tcBorders>
              <w:top w:val="single" w:sz="4" w:space="0" w:color="000000"/>
              <w:left w:val="single" w:sz="4" w:space="0" w:color="000000"/>
              <w:bottom w:val="single" w:sz="4" w:space="0" w:color="000000"/>
              <w:right w:val="single" w:sz="4" w:space="0" w:color="000000"/>
            </w:tcBorders>
            <w:vAlign w:val="bottom"/>
          </w:tcPr>
          <w:p w14:paraId="45ADCC16"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594</w:t>
            </w:r>
          </w:p>
        </w:tc>
        <w:tc>
          <w:tcPr>
            <w:tcW w:w="1560" w:type="dxa"/>
            <w:tcBorders>
              <w:top w:val="single" w:sz="4" w:space="0" w:color="000000"/>
              <w:left w:val="single" w:sz="4" w:space="0" w:color="000000"/>
              <w:bottom w:val="single" w:sz="4" w:space="0" w:color="000000"/>
              <w:right w:val="single" w:sz="4" w:space="0" w:color="000000"/>
            </w:tcBorders>
            <w:vAlign w:val="bottom"/>
          </w:tcPr>
          <w:p w14:paraId="377B52EA"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1.953</w:t>
            </w:r>
          </w:p>
        </w:tc>
        <w:tc>
          <w:tcPr>
            <w:tcW w:w="1354" w:type="dxa"/>
            <w:tcBorders>
              <w:top w:val="single" w:sz="4" w:space="0" w:color="000000"/>
              <w:left w:val="single" w:sz="4" w:space="0" w:color="000000"/>
              <w:bottom w:val="single" w:sz="4" w:space="0" w:color="000000"/>
              <w:right w:val="single" w:sz="4" w:space="0" w:color="000000"/>
            </w:tcBorders>
            <w:vAlign w:val="bottom"/>
          </w:tcPr>
          <w:p w14:paraId="1128BC91"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2.547</w:t>
            </w:r>
          </w:p>
        </w:tc>
        <w:tc>
          <w:tcPr>
            <w:tcW w:w="1074" w:type="dxa"/>
            <w:tcBorders>
              <w:top w:val="single" w:sz="4" w:space="0" w:color="000000"/>
              <w:left w:val="single" w:sz="4" w:space="0" w:color="000000"/>
              <w:bottom w:val="single" w:sz="4" w:space="0" w:color="000000"/>
              <w:right w:val="single" w:sz="4" w:space="0" w:color="000000"/>
            </w:tcBorders>
            <w:vAlign w:val="bottom"/>
          </w:tcPr>
          <w:p w14:paraId="62D6CD2E"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0,2%</w:t>
            </w:r>
          </w:p>
        </w:tc>
      </w:tr>
      <w:tr w:rsidR="009F762E" w:rsidRPr="00242DFB" w14:paraId="60E1BF99"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07D190BA"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0DA9E9DE"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Puerto Lleras</w:t>
            </w:r>
          </w:p>
        </w:tc>
        <w:tc>
          <w:tcPr>
            <w:tcW w:w="1703" w:type="dxa"/>
            <w:tcBorders>
              <w:top w:val="single" w:sz="4" w:space="0" w:color="000000"/>
              <w:left w:val="single" w:sz="4" w:space="0" w:color="000000"/>
              <w:bottom w:val="single" w:sz="4" w:space="0" w:color="000000"/>
              <w:right w:val="single" w:sz="4" w:space="0" w:color="000000"/>
            </w:tcBorders>
            <w:vAlign w:val="bottom"/>
          </w:tcPr>
          <w:p w14:paraId="4A7DA943"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416</w:t>
            </w:r>
          </w:p>
        </w:tc>
        <w:tc>
          <w:tcPr>
            <w:tcW w:w="1560" w:type="dxa"/>
            <w:tcBorders>
              <w:top w:val="single" w:sz="4" w:space="0" w:color="000000"/>
              <w:left w:val="single" w:sz="4" w:space="0" w:color="000000"/>
              <w:bottom w:val="single" w:sz="4" w:space="0" w:color="000000"/>
              <w:right w:val="single" w:sz="4" w:space="0" w:color="000000"/>
            </w:tcBorders>
            <w:vAlign w:val="bottom"/>
          </w:tcPr>
          <w:p w14:paraId="51D35158"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4.799</w:t>
            </w:r>
          </w:p>
        </w:tc>
        <w:tc>
          <w:tcPr>
            <w:tcW w:w="1354" w:type="dxa"/>
            <w:tcBorders>
              <w:top w:val="single" w:sz="4" w:space="0" w:color="000000"/>
              <w:left w:val="single" w:sz="4" w:space="0" w:color="000000"/>
              <w:bottom w:val="single" w:sz="4" w:space="0" w:color="000000"/>
              <w:right w:val="single" w:sz="4" w:space="0" w:color="000000"/>
            </w:tcBorders>
            <w:vAlign w:val="bottom"/>
          </w:tcPr>
          <w:p w14:paraId="32E48D4A"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5.215</w:t>
            </w:r>
          </w:p>
        </w:tc>
        <w:tc>
          <w:tcPr>
            <w:tcW w:w="1074" w:type="dxa"/>
            <w:tcBorders>
              <w:top w:val="single" w:sz="4" w:space="0" w:color="000000"/>
              <w:left w:val="single" w:sz="4" w:space="0" w:color="000000"/>
              <w:bottom w:val="single" w:sz="4" w:space="0" w:color="000000"/>
              <w:right w:val="single" w:sz="4" w:space="0" w:color="000000"/>
            </w:tcBorders>
            <w:vAlign w:val="bottom"/>
          </w:tcPr>
          <w:p w14:paraId="050D0E14"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0,5%</w:t>
            </w:r>
          </w:p>
        </w:tc>
      </w:tr>
      <w:tr w:rsidR="009F762E" w:rsidRPr="00242DFB" w14:paraId="00EFDE61"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4F804279"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0682F965"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Puerto López</w:t>
            </w:r>
          </w:p>
        </w:tc>
        <w:tc>
          <w:tcPr>
            <w:tcW w:w="1703" w:type="dxa"/>
            <w:tcBorders>
              <w:top w:val="single" w:sz="4" w:space="0" w:color="000000"/>
              <w:left w:val="single" w:sz="4" w:space="0" w:color="000000"/>
              <w:bottom w:val="single" w:sz="4" w:space="0" w:color="000000"/>
              <w:right w:val="single" w:sz="4" w:space="0" w:color="000000"/>
            </w:tcBorders>
            <w:vAlign w:val="bottom"/>
          </w:tcPr>
          <w:p w14:paraId="69A65E92"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1.279</w:t>
            </w:r>
          </w:p>
        </w:tc>
        <w:tc>
          <w:tcPr>
            <w:tcW w:w="1560" w:type="dxa"/>
            <w:tcBorders>
              <w:top w:val="single" w:sz="4" w:space="0" w:color="000000"/>
              <w:left w:val="single" w:sz="4" w:space="0" w:color="000000"/>
              <w:bottom w:val="single" w:sz="4" w:space="0" w:color="000000"/>
              <w:right w:val="single" w:sz="4" w:space="0" w:color="000000"/>
            </w:tcBorders>
            <w:vAlign w:val="bottom"/>
          </w:tcPr>
          <w:p w14:paraId="2E8700CD"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9.763</w:t>
            </w:r>
          </w:p>
        </w:tc>
        <w:tc>
          <w:tcPr>
            <w:tcW w:w="1354" w:type="dxa"/>
            <w:tcBorders>
              <w:top w:val="single" w:sz="4" w:space="0" w:color="000000"/>
              <w:left w:val="single" w:sz="4" w:space="0" w:color="000000"/>
              <w:bottom w:val="single" w:sz="4" w:space="0" w:color="000000"/>
              <w:right w:val="single" w:sz="4" w:space="0" w:color="000000"/>
            </w:tcBorders>
            <w:vAlign w:val="bottom"/>
          </w:tcPr>
          <w:p w14:paraId="0C367252"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11.042</w:t>
            </w:r>
          </w:p>
        </w:tc>
        <w:tc>
          <w:tcPr>
            <w:tcW w:w="1074" w:type="dxa"/>
            <w:tcBorders>
              <w:top w:val="single" w:sz="4" w:space="0" w:color="000000"/>
              <w:left w:val="single" w:sz="4" w:space="0" w:color="000000"/>
              <w:bottom w:val="single" w:sz="4" w:space="0" w:color="000000"/>
              <w:right w:val="single" w:sz="4" w:space="0" w:color="000000"/>
            </w:tcBorders>
            <w:vAlign w:val="bottom"/>
          </w:tcPr>
          <w:p w14:paraId="1FCC6FF5"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1,0%</w:t>
            </w:r>
          </w:p>
        </w:tc>
      </w:tr>
      <w:tr w:rsidR="009F762E" w:rsidRPr="00242DFB" w14:paraId="4FD8D22F"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0D32D096"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7178B773"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Puerto Rico</w:t>
            </w:r>
          </w:p>
        </w:tc>
        <w:tc>
          <w:tcPr>
            <w:tcW w:w="1703" w:type="dxa"/>
            <w:tcBorders>
              <w:top w:val="single" w:sz="4" w:space="0" w:color="000000"/>
              <w:left w:val="single" w:sz="4" w:space="0" w:color="000000"/>
              <w:bottom w:val="single" w:sz="4" w:space="0" w:color="000000"/>
              <w:right w:val="single" w:sz="4" w:space="0" w:color="000000"/>
            </w:tcBorders>
            <w:vAlign w:val="bottom"/>
          </w:tcPr>
          <w:p w14:paraId="3F229B85"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712</w:t>
            </w:r>
          </w:p>
        </w:tc>
        <w:tc>
          <w:tcPr>
            <w:tcW w:w="1560" w:type="dxa"/>
            <w:tcBorders>
              <w:top w:val="single" w:sz="4" w:space="0" w:color="000000"/>
              <w:left w:val="single" w:sz="4" w:space="0" w:color="000000"/>
              <w:bottom w:val="single" w:sz="4" w:space="0" w:color="000000"/>
              <w:right w:val="single" w:sz="4" w:space="0" w:color="000000"/>
            </w:tcBorders>
            <w:vAlign w:val="bottom"/>
          </w:tcPr>
          <w:p w14:paraId="2DB50C5E"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7.564</w:t>
            </w:r>
          </w:p>
        </w:tc>
        <w:tc>
          <w:tcPr>
            <w:tcW w:w="1354" w:type="dxa"/>
            <w:tcBorders>
              <w:top w:val="single" w:sz="4" w:space="0" w:color="000000"/>
              <w:left w:val="single" w:sz="4" w:space="0" w:color="000000"/>
              <w:bottom w:val="single" w:sz="4" w:space="0" w:color="000000"/>
              <w:right w:val="single" w:sz="4" w:space="0" w:color="000000"/>
            </w:tcBorders>
            <w:vAlign w:val="bottom"/>
          </w:tcPr>
          <w:p w14:paraId="15A83DD4"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8.276</w:t>
            </w:r>
          </w:p>
        </w:tc>
        <w:tc>
          <w:tcPr>
            <w:tcW w:w="1074" w:type="dxa"/>
            <w:tcBorders>
              <w:top w:val="single" w:sz="4" w:space="0" w:color="000000"/>
              <w:left w:val="single" w:sz="4" w:space="0" w:color="000000"/>
              <w:bottom w:val="single" w:sz="4" w:space="0" w:color="000000"/>
              <w:right w:val="single" w:sz="4" w:space="0" w:color="000000"/>
            </w:tcBorders>
            <w:vAlign w:val="bottom"/>
          </w:tcPr>
          <w:p w14:paraId="7258B306"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0,7%</w:t>
            </w:r>
          </w:p>
        </w:tc>
      </w:tr>
      <w:tr w:rsidR="009F762E" w:rsidRPr="00242DFB" w14:paraId="4BC2B15C" w14:textId="77777777" w:rsidTr="0014328E">
        <w:trPr>
          <w:cantSplit/>
          <w:trHeight w:val="31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4C042938"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56AE2282"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Restrepo</w:t>
            </w:r>
          </w:p>
        </w:tc>
        <w:tc>
          <w:tcPr>
            <w:tcW w:w="1703" w:type="dxa"/>
            <w:tcBorders>
              <w:top w:val="single" w:sz="4" w:space="0" w:color="000000"/>
              <w:left w:val="single" w:sz="4" w:space="0" w:color="000000"/>
              <w:bottom w:val="single" w:sz="4" w:space="0" w:color="000000"/>
              <w:right w:val="single" w:sz="4" w:space="0" w:color="000000"/>
            </w:tcBorders>
            <w:vAlign w:val="bottom"/>
          </w:tcPr>
          <w:p w14:paraId="716EB4E8"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604</w:t>
            </w:r>
          </w:p>
        </w:tc>
        <w:tc>
          <w:tcPr>
            <w:tcW w:w="1560" w:type="dxa"/>
            <w:tcBorders>
              <w:top w:val="single" w:sz="4" w:space="0" w:color="000000"/>
              <w:left w:val="single" w:sz="4" w:space="0" w:color="000000"/>
              <w:bottom w:val="single" w:sz="4" w:space="0" w:color="000000"/>
              <w:right w:val="single" w:sz="4" w:space="0" w:color="000000"/>
            </w:tcBorders>
            <w:vAlign w:val="bottom"/>
          </w:tcPr>
          <w:p w14:paraId="3F1F26C3"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4.886</w:t>
            </w:r>
          </w:p>
        </w:tc>
        <w:tc>
          <w:tcPr>
            <w:tcW w:w="1354" w:type="dxa"/>
            <w:tcBorders>
              <w:top w:val="single" w:sz="4" w:space="0" w:color="000000"/>
              <w:left w:val="single" w:sz="4" w:space="0" w:color="000000"/>
              <w:bottom w:val="single" w:sz="4" w:space="0" w:color="000000"/>
              <w:right w:val="single" w:sz="4" w:space="0" w:color="000000"/>
            </w:tcBorders>
            <w:vAlign w:val="bottom"/>
          </w:tcPr>
          <w:p w14:paraId="291ED1B2"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5.490</w:t>
            </w:r>
          </w:p>
        </w:tc>
        <w:tc>
          <w:tcPr>
            <w:tcW w:w="1074" w:type="dxa"/>
            <w:tcBorders>
              <w:top w:val="single" w:sz="4" w:space="0" w:color="000000"/>
              <w:left w:val="single" w:sz="4" w:space="0" w:color="000000"/>
              <w:bottom w:val="single" w:sz="4" w:space="0" w:color="000000"/>
              <w:right w:val="single" w:sz="4" w:space="0" w:color="000000"/>
            </w:tcBorders>
            <w:vAlign w:val="bottom"/>
          </w:tcPr>
          <w:p w14:paraId="1E5F5EC0"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0,5%</w:t>
            </w:r>
          </w:p>
        </w:tc>
      </w:tr>
      <w:tr w:rsidR="009F762E" w:rsidRPr="00242DFB" w14:paraId="6A220FE8"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071AE673"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2E077CF4"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San Carlos De Guaroa</w:t>
            </w:r>
          </w:p>
        </w:tc>
        <w:tc>
          <w:tcPr>
            <w:tcW w:w="1703" w:type="dxa"/>
            <w:tcBorders>
              <w:top w:val="single" w:sz="4" w:space="0" w:color="000000"/>
              <w:left w:val="single" w:sz="4" w:space="0" w:color="000000"/>
              <w:bottom w:val="single" w:sz="4" w:space="0" w:color="000000"/>
              <w:right w:val="single" w:sz="4" w:space="0" w:color="000000"/>
            </w:tcBorders>
            <w:vAlign w:val="bottom"/>
          </w:tcPr>
          <w:p w14:paraId="705178CD"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892</w:t>
            </w:r>
          </w:p>
        </w:tc>
        <w:tc>
          <w:tcPr>
            <w:tcW w:w="1560" w:type="dxa"/>
            <w:tcBorders>
              <w:top w:val="single" w:sz="4" w:space="0" w:color="000000"/>
              <w:left w:val="single" w:sz="4" w:space="0" w:color="000000"/>
              <w:bottom w:val="single" w:sz="4" w:space="0" w:color="000000"/>
              <w:right w:val="single" w:sz="4" w:space="0" w:color="000000"/>
            </w:tcBorders>
            <w:vAlign w:val="bottom"/>
          </w:tcPr>
          <w:p w14:paraId="00943A5A"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3.997</w:t>
            </w:r>
          </w:p>
        </w:tc>
        <w:tc>
          <w:tcPr>
            <w:tcW w:w="1354" w:type="dxa"/>
            <w:tcBorders>
              <w:top w:val="single" w:sz="4" w:space="0" w:color="000000"/>
              <w:left w:val="single" w:sz="4" w:space="0" w:color="000000"/>
              <w:bottom w:val="single" w:sz="4" w:space="0" w:color="000000"/>
              <w:right w:val="single" w:sz="4" w:space="0" w:color="000000"/>
            </w:tcBorders>
            <w:vAlign w:val="bottom"/>
          </w:tcPr>
          <w:p w14:paraId="518F3522"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4.889</w:t>
            </w:r>
          </w:p>
        </w:tc>
        <w:tc>
          <w:tcPr>
            <w:tcW w:w="1074" w:type="dxa"/>
            <w:tcBorders>
              <w:top w:val="single" w:sz="4" w:space="0" w:color="000000"/>
              <w:left w:val="single" w:sz="4" w:space="0" w:color="000000"/>
              <w:bottom w:val="single" w:sz="4" w:space="0" w:color="000000"/>
              <w:right w:val="single" w:sz="4" w:space="0" w:color="000000"/>
            </w:tcBorders>
            <w:vAlign w:val="bottom"/>
          </w:tcPr>
          <w:p w14:paraId="7DF63A28"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0,4%</w:t>
            </w:r>
          </w:p>
        </w:tc>
      </w:tr>
      <w:tr w:rsidR="009F762E" w:rsidRPr="00242DFB" w14:paraId="523922AC"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37C92F64"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3C2BEFB0"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San Juan De Arama</w:t>
            </w:r>
          </w:p>
        </w:tc>
        <w:tc>
          <w:tcPr>
            <w:tcW w:w="1703" w:type="dxa"/>
            <w:tcBorders>
              <w:top w:val="single" w:sz="4" w:space="0" w:color="000000"/>
              <w:left w:val="single" w:sz="4" w:space="0" w:color="000000"/>
              <w:bottom w:val="single" w:sz="4" w:space="0" w:color="000000"/>
              <w:right w:val="single" w:sz="4" w:space="0" w:color="000000"/>
            </w:tcBorders>
            <w:vAlign w:val="bottom"/>
          </w:tcPr>
          <w:p w14:paraId="7C96FD0A"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367</w:t>
            </w:r>
          </w:p>
        </w:tc>
        <w:tc>
          <w:tcPr>
            <w:tcW w:w="1560" w:type="dxa"/>
            <w:tcBorders>
              <w:top w:val="single" w:sz="4" w:space="0" w:color="000000"/>
              <w:left w:val="single" w:sz="4" w:space="0" w:color="000000"/>
              <w:bottom w:val="single" w:sz="4" w:space="0" w:color="000000"/>
              <w:right w:val="single" w:sz="4" w:space="0" w:color="000000"/>
            </w:tcBorders>
            <w:vAlign w:val="bottom"/>
          </w:tcPr>
          <w:p w14:paraId="47765B20"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4.217</w:t>
            </w:r>
          </w:p>
        </w:tc>
        <w:tc>
          <w:tcPr>
            <w:tcW w:w="1354" w:type="dxa"/>
            <w:tcBorders>
              <w:top w:val="single" w:sz="4" w:space="0" w:color="000000"/>
              <w:left w:val="single" w:sz="4" w:space="0" w:color="000000"/>
              <w:bottom w:val="single" w:sz="4" w:space="0" w:color="000000"/>
              <w:right w:val="single" w:sz="4" w:space="0" w:color="000000"/>
            </w:tcBorders>
            <w:vAlign w:val="bottom"/>
          </w:tcPr>
          <w:p w14:paraId="2292A315"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4.584</w:t>
            </w:r>
          </w:p>
        </w:tc>
        <w:tc>
          <w:tcPr>
            <w:tcW w:w="1074" w:type="dxa"/>
            <w:tcBorders>
              <w:top w:val="single" w:sz="4" w:space="0" w:color="000000"/>
              <w:left w:val="single" w:sz="4" w:space="0" w:color="000000"/>
              <w:bottom w:val="single" w:sz="4" w:space="0" w:color="000000"/>
              <w:right w:val="single" w:sz="4" w:space="0" w:color="000000"/>
            </w:tcBorders>
            <w:vAlign w:val="bottom"/>
          </w:tcPr>
          <w:p w14:paraId="6E8728E7"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0,4%</w:t>
            </w:r>
          </w:p>
        </w:tc>
      </w:tr>
      <w:tr w:rsidR="009F762E" w:rsidRPr="00242DFB" w14:paraId="40278CA4" w14:textId="77777777" w:rsidTr="0014328E">
        <w:trPr>
          <w:cantSplit/>
          <w:trHeight w:val="31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74F40AF4"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5155371D"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San Juanito</w:t>
            </w:r>
          </w:p>
        </w:tc>
        <w:tc>
          <w:tcPr>
            <w:tcW w:w="1703" w:type="dxa"/>
            <w:tcBorders>
              <w:top w:val="single" w:sz="4" w:space="0" w:color="000000"/>
              <w:left w:val="single" w:sz="4" w:space="0" w:color="000000"/>
              <w:bottom w:val="single" w:sz="4" w:space="0" w:color="000000"/>
              <w:right w:val="single" w:sz="4" w:space="0" w:color="000000"/>
            </w:tcBorders>
            <w:vAlign w:val="bottom"/>
          </w:tcPr>
          <w:p w14:paraId="4D3032C5"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129</w:t>
            </w:r>
          </w:p>
        </w:tc>
        <w:tc>
          <w:tcPr>
            <w:tcW w:w="1560" w:type="dxa"/>
            <w:tcBorders>
              <w:top w:val="single" w:sz="4" w:space="0" w:color="000000"/>
              <w:left w:val="single" w:sz="4" w:space="0" w:color="000000"/>
              <w:bottom w:val="single" w:sz="4" w:space="0" w:color="000000"/>
              <w:right w:val="single" w:sz="4" w:space="0" w:color="000000"/>
            </w:tcBorders>
            <w:vAlign w:val="bottom"/>
          </w:tcPr>
          <w:p w14:paraId="4D18843C"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1.257</w:t>
            </w:r>
          </w:p>
        </w:tc>
        <w:tc>
          <w:tcPr>
            <w:tcW w:w="1354" w:type="dxa"/>
            <w:tcBorders>
              <w:top w:val="single" w:sz="4" w:space="0" w:color="000000"/>
              <w:left w:val="single" w:sz="4" w:space="0" w:color="000000"/>
              <w:bottom w:val="single" w:sz="4" w:space="0" w:color="000000"/>
              <w:right w:val="single" w:sz="4" w:space="0" w:color="000000"/>
            </w:tcBorders>
            <w:vAlign w:val="bottom"/>
          </w:tcPr>
          <w:p w14:paraId="4095D560"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1.386</w:t>
            </w:r>
          </w:p>
        </w:tc>
        <w:tc>
          <w:tcPr>
            <w:tcW w:w="1074" w:type="dxa"/>
            <w:tcBorders>
              <w:top w:val="single" w:sz="4" w:space="0" w:color="000000"/>
              <w:left w:val="single" w:sz="4" w:space="0" w:color="000000"/>
              <w:bottom w:val="single" w:sz="4" w:space="0" w:color="000000"/>
              <w:right w:val="single" w:sz="4" w:space="0" w:color="000000"/>
            </w:tcBorders>
            <w:vAlign w:val="bottom"/>
          </w:tcPr>
          <w:p w14:paraId="4F27AD13"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0,1%</w:t>
            </w:r>
          </w:p>
        </w:tc>
      </w:tr>
      <w:tr w:rsidR="009F762E" w:rsidRPr="00242DFB" w14:paraId="230A6112"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484B4825"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0B1B81BF"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San Martín</w:t>
            </w:r>
          </w:p>
        </w:tc>
        <w:tc>
          <w:tcPr>
            <w:tcW w:w="1703" w:type="dxa"/>
            <w:tcBorders>
              <w:top w:val="single" w:sz="4" w:space="0" w:color="000000"/>
              <w:left w:val="single" w:sz="4" w:space="0" w:color="000000"/>
              <w:bottom w:val="single" w:sz="4" w:space="0" w:color="000000"/>
              <w:right w:val="single" w:sz="4" w:space="0" w:color="000000"/>
            </w:tcBorders>
            <w:vAlign w:val="bottom"/>
          </w:tcPr>
          <w:p w14:paraId="394D28BF"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1.160</w:t>
            </w:r>
          </w:p>
        </w:tc>
        <w:tc>
          <w:tcPr>
            <w:tcW w:w="1560" w:type="dxa"/>
            <w:tcBorders>
              <w:top w:val="single" w:sz="4" w:space="0" w:color="000000"/>
              <w:left w:val="single" w:sz="4" w:space="0" w:color="000000"/>
              <w:bottom w:val="single" w:sz="4" w:space="0" w:color="000000"/>
              <w:right w:val="single" w:sz="4" w:space="0" w:color="000000"/>
            </w:tcBorders>
            <w:vAlign w:val="bottom"/>
          </w:tcPr>
          <w:p w14:paraId="6020EF3E"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8.089</w:t>
            </w:r>
          </w:p>
        </w:tc>
        <w:tc>
          <w:tcPr>
            <w:tcW w:w="1354" w:type="dxa"/>
            <w:tcBorders>
              <w:top w:val="single" w:sz="4" w:space="0" w:color="000000"/>
              <w:left w:val="single" w:sz="4" w:space="0" w:color="000000"/>
              <w:bottom w:val="single" w:sz="4" w:space="0" w:color="000000"/>
              <w:right w:val="single" w:sz="4" w:space="0" w:color="000000"/>
            </w:tcBorders>
            <w:vAlign w:val="bottom"/>
          </w:tcPr>
          <w:p w14:paraId="6A86FEC7"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9.249</w:t>
            </w:r>
          </w:p>
        </w:tc>
        <w:tc>
          <w:tcPr>
            <w:tcW w:w="1074" w:type="dxa"/>
            <w:tcBorders>
              <w:top w:val="single" w:sz="4" w:space="0" w:color="000000"/>
              <w:left w:val="single" w:sz="4" w:space="0" w:color="000000"/>
              <w:bottom w:val="single" w:sz="4" w:space="0" w:color="000000"/>
              <w:right w:val="single" w:sz="4" w:space="0" w:color="000000"/>
            </w:tcBorders>
            <w:vAlign w:val="bottom"/>
          </w:tcPr>
          <w:p w14:paraId="57E90FA7"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0,8%</w:t>
            </w:r>
          </w:p>
        </w:tc>
      </w:tr>
      <w:tr w:rsidR="009F762E" w:rsidRPr="00242DFB" w14:paraId="0EA64807"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603ABC7D"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485DF627"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Uribe</w:t>
            </w:r>
          </w:p>
        </w:tc>
        <w:tc>
          <w:tcPr>
            <w:tcW w:w="1703" w:type="dxa"/>
            <w:tcBorders>
              <w:top w:val="single" w:sz="4" w:space="0" w:color="000000"/>
              <w:left w:val="single" w:sz="4" w:space="0" w:color="000000"/>
              <w:bottom w:val="single" w:sz="4" w:space="0" w:color="000000"/>
              <w:right w:val="single" w:sz="4" w:space="0" w:color="000000"/>
            </w:tcBorders>
            <w:vAlign w:val="bottom"/>
          </w:tcPr>
          <w:p w14:paraId="57B921D7"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456</w:t>
            </w:r>
          </w:p>
        </w:tc>
        <w:tc>
          <w:tcPr>
            <w:tcW w:w="1560" w:type="dxa"/>
            <w:tcBorders>
              <w:top w:val="single" w:sz="4" w:space="0" w:color="000000"/>
              <w:left w:val="single" w:sz="4" w:space="0" w:color="000000"/>
              <w:bottom w:val="single" w:sz="4" w:space="0" w:color="000000"/>
              <w:right w:val="single" w:sz="4" w:space="0" w:color="000000"/>
            </w:tcBorders>
            <w:vAlign w:val="bottom"/>
          </w:tcPr>
          <w:p w14:paraId="74540F9E"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7.663</w:t>
            </w:r>
          </w:p>
        </w:tc>
        <w:tc>
          <w:tcPr>
            <w:tcW w:w="1354" w:type="dxa"/>
            <w:tcBorders>
              <w:top w:val="single" w:sz="4" w:space="0" w:color="000000"/>
              <w:left w:val="single" w:sz="4" w:space="0" w:color="000000"/>
              <w:bottom w:val="single" w:sz="4" w:space="0" w:color="000000"/>
              <w:right w:val="single" w:sz="4" w:space="0" w:color="000000"/>
            </w:tcBorders>
            <w:vAlign w:val="bottom"/>
          </w:tcPr>
          <w:p w14:paraId="57E80A6C"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8.119</w:t>
            </w:r>
          </w:p>
        </w:tc>
        <w:tc>
          <w:tcPr>
            <w:tcW w:w="1074" w:type="dxa"/>
            <w:tcBorders>
              <w:top w:val="single" w:sz="4" w:space="0" w:color="000000"/>
              <w:left w:val="single" w:sz="4" w:space="0" w:color="000000"/>
              <w:bottom w:val="single" w:sz="4" w:space="0" w:color="000000"/>
              <w:right w:val="single" w:sz="4" w:space="0" w:color="000000"/>
            </w:tcBorders>
            <w:vAlign w:val="bottom"/>
          </w:tcPr>
          <w:p w14:paraId="7BE4ABF8"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0,7%</w:t>
            </w:r>
          </w:p>
        </w:tc>
      </w:tr>
      <w:tr w:rsidR="009F762E" w:rsidRPr="00242DFB" w14:paraId="2D9E1077"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1C25DCA2"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738DED25"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Villavicencio</w:t>
            </w:r>
          </w:p>
        </w:tc>
        <w:tc>
          <w:tcPr>
            <w:tcW w:w="1703" w:type="dxa"/>
            <w:tcBorders>
              <w:top w:val="single" w:sz="4" w:space="0" w:color="000000"/>
              <w:left w:val="single" w:sz="4" w:space="0" w:color="000000"/>
              <w:bottom w:val="single" w:sz="4" w:space="0" w:color="000000"/>
              <w:right w:val="single" w:sz="4" w:space="0" w:color="000000"/>
            </w:tcBorders>
            <w:vAlign w:val="bottom"/>
          </w:tcPr>
          <w:p w14:paraId="26CF8A6C"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5.813</w:t>
            </w:r>
          </w:p>
        </w:tc>
        <w:tc>
          <w:tcPr>
            <w:tcW w:w="1560" w:type="dxa"/>
            <w:tcBorders>
              <w:top w:val="single" w:sz="4" w:space="0" w:color="000000"/>
              <w:left w:val="single" w:sz="4" w:space="0" w:color="000000"/>
              <w:bottom w:val="single" w:sz="4" w:space="0" w:color="000000"/>
              <w:right w:val="single" w:sz="4" w:space="0" w:color="000000"/>
            </w:tcBorders>
            <w:vAlign w:val="bottom"/>
          </w:tcPr>
          <w:p w14:paraId="02FE0CF5"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52.762</w:t>
            </w:r>
          </w:p>
        </w:tc>
        <w:tc>
          <w:tcPr>
            <w:tcW w:w="1354" w:type="dxa"/>
            <w:tcBorders>
              <w:top w:val="single" w:sz="4" w:space="0" w:color="000000"/>
              <w:left w:val="single" w:sz="4" w:space="0" w:color="000000"/>
              <w:bottom w:val="single" w:sz="4" w:space="0" w:color="000000"/>
              <w:right w:val="single" w:sz="4" w:space="0" w:color="000000"/>
            </w:tcBorders>
            <w:vAlign w:val="bottom"/>
          </w:tcPr>
          <w:p w14:paraId="6743BD90"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58.575</w:t>
            </w:r>
          </w:p>
        </w:tc>
        <w:tc>
          <w:tcPr>
            <w:tcW w:w="1074" w:type="dxa"/>
            <w:tcBorders>
              <w:top w:val="single" w:sz="4" w:space="0" w:color="000000"/>
              <w:left w:val="single" w:sz="4" w:space="0" w:color="000000"/>
              <w:bottom w:val="single" w:sz="4" w:space="0" w:color="000000"/>
              <w:right w:val="single" w:sz="4" w:space="0" w:color="000000"/>
            </w:tcBorders>
            <w:vAlign w:val="bottom"/>
          </w:tcPr>
          <w:p w14:paraId="2CCC1DC0"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5,2%</w:t>
            </w:r>
          </w:p>
        </w:tc>
      </w:tr>
      <w:tr w:rsidR="009F762E" w:rsidRPr="00242DFB" w14:paraId="7DD139F5" w14:textId="77777777" w:rsidTr="0014328E">
        <w:trPr>
          <w:cantSplit/>
          <w:trHeight w:val="56"/>
          <w:jc w:val="center"/>
        </w:trPr>
        <w:tc>
          <w:tcPr>
            <w:tcW w:w="1908" w:type="dxa"/>
            <w:tcBorders>
              <w:top w:val="single" w:sz="4" w:space="0" w:color="000000"/>
              <w:left w:val="single" w:sz="4" w:space="0" w:color="000000"/>
              <w:bottom w:val="single" w:sz="4" w:space="0" w:color="000000"/>
              <w:right w:val="single" w:sz="4" w:space="0" w:color="000000"/>
            </w:tcBorders>
            <w:vAlign w:val="bottom"/>
          </w:tcPr>
          <w:p w14:paraId="23EA642C"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Meta</w:t>
            </w:r>
          </w:p>
        </w:tc>
        <w:tc>
          <w:tcPr>
            <w:tcW w:w="1981" w:type="dxa"/>
            <w:tcBorders>
              <w:top w:val="single" w:sz="4" w:space="0" w:color="000000"/>
              <w:left w:val="single" w:sz="4" w:space="0" w:color="000000"/>
              <w:bottom w:val="single" w:sz="4" w:space="0" w:color="000000"/>
              <w:right w:val="single" w:sz="4" w:space="0" w:color="000000"/>
            </w:tcBorders>
            <w:vAlign w:val="bottom"/>
          </w:tcPr>
          <w:p w14:paraId="7211B5A3"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rPr>
              <w:t>Vistahermosa</w:t>
            </w:r>
          </w:p>
        </w:tc>
        <w:tc>
          <w:tcPr>
            <w:tcW w:w="1703" w:type="dxa"/>
            <w:tcBorders>
              <w:top w:val="single" w:sz="4" w:space="0" w:color="000000"/>
              <w:left w:val="single" w:sz="4" w:space="0" w:color="000000"/>
              <w:bottom w:val="single" w:sz="4" w:space="0" w:color="000000"/>
              <w:right w:val="single" w:sz="4" w:space="0" w:color="000000"/>
            </w:tcBorders>
            <w:vAlign w:val="bottom"/>
          </w:tcPr>
          <w:p w14:paraId="2C721D43"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491</w:t>
            </w:r>
          </w:p>
        </w:tc>
        <w:tc>
          <w:tcPr>
            <w:tcW w:w="1560" w:type="dxa"/>
            <w:tcBorders>
              <w:top w:val="single" w:sz="4" w:space="0" w:color="000000"/>
              <w:left w:val="single" w:sz="4" w:space="0" w:color="000000"/>
              <w:bottom w:val="single" w:sz="4" w:space="0" w:color="000000"/>
              <w:right w:val="single" w:sz="4" w:space="0" w:color="000000"/>
            </w:tcBorders>
            <w:vAlign w:val="bottom"/>
          </w:tcPr>
          <w:p w14:paraId="30D94E4F"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8.118</w:t>
            </w:r>
          </w:p>
        </w:tc>
        <w:tc>
          <w:tcPr>
            <w:tcW w:w="1354" w:type="dxa"/>
            <w:tcBorders>
              <w:top w:val="single" w:sz="4" w:space="0" w:color="000000"/>
              <w:left w:val="single" w:sz="4" w:space="0" w:color="000000"/>
              <w:bottom w:val="single" w:sz="4" w:space="0" w:color="000000"/>
              <w:right w:val="single" w:sz="4" w:space="0" w:color="000000"/>
            </w:tcBorders>
            <w:vAlign w:val="bottom"/>
          </w:tcPr>
          <w:p w14:paraId="1B9E04AB" w14:textId="77777777" w:rsidR="009F762E" w:rsidRPr="00242DFB" w:rsidRDefault="00000000" w:rsidP="005B2285">
            <w:pPr>
              <w:spacing w:line="360" w:lineRule="auto"/>
              <w:jc w:val="right"/>
              <w:rPr>
                <w:rFonts w:ascii="Arial" w:eastAsia="Arial" w:hAnsi="Arial" w:cs="Arial"/>
                <w:color w:val="000000" w:themeColor="text1"/>
              </w:rPr>
            </w:pPr>
            <w:r w:rsidRPr="00242DFB">
              <w:rPr>
                <w:rFonts w:ascii="Arial" w:eastAsia="Arial" w:hAnsi="Arial" w:cs="Arial"/>
                <w:color w:val="000000" w:themeColor="text1"/>
              </w:rPr>
              <w:t>8.609</w:t>
            </w:r>
          </w:p>
        </w:tc>
        <w:tc>
          <w:tcPr>
            <w:tcW w:w="1074" w:type="dxa"/>
            <w:tcBorders>
              <w:top w:val="single" w:sz="4" w:space="0" w:color="000000"/>
              <w:left w:val="single" w:sz="4" w:space="0" w:color="000000"/>
              <w:bottom w:val="single" w:sz="4" w:space="0" w:color="000000"/>
              <w:right w:val="single" w:sz="4" w:space="0" w:color="000000"/>
            </w:tcBorders>
            <w:vAlign w:val="bottom"/>
          </w:tcPr>
          <w:p w14:paraId="1825D10A" w14:textId="77777777" w:rsidR="009F762E" w:rsidRPr="00242DFB" w:rsidRDefault="00000000" w:rsidP="005B2285">
            <w:pPr>
              <w:spacing w:line="360" w:lineRule="auto"/>
              <w:jc w:val="right"/>
              <w:rPr>
                <w:rFonts w:ascii="Arial" w:eastAsia="Aptos Narrow" w:hAnsi="Arial" w:cs="Arial"/>
                <w:color w:val="000000" w:themeColor="text1"/>
              </w:rPr>
            </w:pPr>
            <w:r w:rsidRPr="00242DFB">
              <w:rPr>
                <w:rFonts w:ascii="Arial" w:eastAsia="Aptos Narrow" w:hAnsi="Arial" w:cs="Arial"/>
                <w:color w:val="000000" w:themeColor="text1"/>
              </w:rPr>
              <w:t>0,8%</w:t>
            </w:r>
          </w:p>
        </w:tc>
      </w:tr>
      <w:tr w:rsidR="009F762E" w:rsidRPr="00242DFB" w14:paraId="4379B7A3" w14:textId="77777777" w:rsidTr="0014328E">
        <w:trPr>
          <w:cantSplit/>
          <w:trHeight w:val="56"/>
          <w:jc w:val="center"/>
        </w:trPr>
        <w:tc>
          <w:tcPr>
            <w:tcW w:w="3890" w:type="dxa"/>
            <w:gridSpan w:val="2"/>
            <w:tcBorders>
              <w:top w:val="single" w:sz="4" w:space="0" w:color="000000"/>
              <w:left w:val="single" w:sz="4" w:space="0" w:color="000000"/>
              <w:bottom w:val="single" w:sz="4" w:space="0" w:color="000000"/>
              <w:right w:val="single" w:sz="4" w:space="0" w:color="000000"/>
            </w:tcBorders>
            <w:vAlign w:val="bottom"/>
          </w:tcPr>
          <w:p w14:paraId="5EA9573A" w14:textId="77777777" w:rsidR="009F762E" w:rsidRPr="00242DFB" w:rsidRDefault="00000000" w:rsidP="005B2285">
            <w:pPr>
              <w:spacing w:line="360" w:lineRule="auto"/>
              <w:jc w:val="center"/>
              <w:rPr>
                <w:rFonts w:ascii="Arial" w:eastAsia="Arial" w:hAnsi="Arial" w:cs="Arial"/>
                <w:b/>
                <w:bCs/>
                <w:color w:val="000000" w:themeColor="text1"/>
                <w:sz w:val="16"/>
                <w:szCs w:val="16"/>
              </w:rPr>
            </w:pPr>
            <w:r w:rsidRPr="00242DFB">
              <w:rPr>
                <w:rFonts w:ascii="Arial" w:eastAsia="Arial" w:hAnsi="Arial" w:cs="Arial"/>
                <w:b/>
                <w:bCs/>
                <w:color w:val="000000" w:themeColor="text1"/>
                <w:sz w:val="16"/>
                <w:szCs w:val="16"/>
              </w:rPr>
              <w:t>Total</w:t>
            </w:r>
          </w:p>
        </w:tc>
        <w:tc>
          <w:tcPr>
            <w:tcW w:w="1703" w:type="dxa"/>
            <w:tcBorders>
              <w:top w:val="single" w:sz="4" w:space="0" w:color="000000"/>
              <w:left w:val="single" w:sz="4" w:space="0" w:color="000000"/>
              <w:bottom w:val="single" w:sz="4" w:space="0" w:color="000000"/>
              <w:right w:val="single" w:sz="4" w:space="0" w:color="000000"/>
            </w:tcBorders>
            <w:vAlign w:val="bottom"/>
          </w:tcPr>
          <w:p w14:paraId="21842337" w14:textId="77777777" w:rsidR="009F762E" w:rsidRPr="00242DFB" w:rsidRDefault="00000000" w:rsidP="005B2285">
            <w:pPr>
              <w:spacing w:line="360" w:lineRule="auto"/>
              <w:jc w:val="right"/>
              <w:rPr>
                <w:rFonts w:ascii="Arial" w:eastAsia="Arial" w:hAnsi="Arial" w:cs="Arial"/>
                <w:b/>
                <w:bCs/>
                <w:color w:val="000000" w:themeColor="text1"/>
                <w:sz w:val="16"/>
                <w:szCs w:val="16"/>
              </w:rPr>
            </w:pPr>
            <w:r w:rsidRPr="00242DFB">
              <w:rPr>
                <w:rFonts w:ascii="Arial" w:eastAsia="Arial" w:hAnsi="Arial" w:cs="Arial"/>
                <w:b/>
                <w:bCs/>
                <w:color w:val="000000" w:themeColor="text1"/>
                <w:sz w:val="16"/>
                <w:szCs w:val="16"/>
              </w:rPr>
              <w:t>86.063</w:t>
            </w:r>
          </w:p>
        </w:tc>
        <w:tc>
          <w:tcPr>
            <w:tcW w:w="1560" w:type="dxa"/>
            <w:tcBorders>
              <w:top w:val="single" w:sz="4" w:space="0" w:color="000000"/>
              <w:left w:val="single" w:sz="4" w:space="0" w:color="000000"/>
              <w:bottom w:val="single" w:sz="4" w:space="0" w:color="000000"/>
              <w:right w:val="single" w:sz="4" w:space="0" w:color="000000"/>
            </w:tcBorders>
            <w:vAlign w:val="bottom"/>
          </w:tcPr>
          <w:p w14:paraId="6547B1F8" w14:textId="77777777" w:rsidR="009F762E" w:rsidRPr="00242DFB" w:rsidRDefault="00000000" w:rsidP="005B2285">
            <w:pPr>
              <w:spacing w:line="360" w:lineRule="auto"/>
              <w:jc w:val="right"/>
              <w:rPr>
                <w:rFonts w:ascii="Arial" w:eastAsia="Arial" w:hAnsi="Arial" w:cs="Arial"/>
                <w:b/>
                <w:bCs/>
                <w:color w:val="000000" w:themeColor="text1"/>
                <w:sz w:val="16"/>
                <w:szCs w:val="16"/>
              </w:rPr>
            </w:pPr>
            <w:r w:rsidRPr="00242DFB">
              <w:rPr>
                <w:rFonts w:ascii="Arial" w:eastAsia="Arial" w:hAnsi="Arial" w:cs="Arial"/>
                <w:b/>
                <w:bCs/>
                <w:color w:val="000000" w:themeColor="text1"/>
                <w:sz w:val="16"/>
                <w:szCs w:val="16"/>
              </w:rPr>
              <w:t>1.040.949</w:t>
            </w:r>
          </w:p>
        </w:tc>
        <w:tc>
          <w:tcPr>
            <w:tcW w:w="1354" w:type="dxa"/>
            <w:tcBorders>
              <w:top w:val="single" w:sz="4" w:space="0" w:color="000000"/>
              <w:left w:val="single" w:sz="4" w:space="0" w:color="000000"/>
              <w:bottom w:val="single" w:sz="4" w:space="0" w:color="000000"/>
              <w:right w:val="single" w:sz="4" w:space="0" w:color="000000"/>
            </w:tcBorders>
            <w:vAlign w:val="bottom"/>
          </w:tcPr>
          <w:p w14:paraId="0A8371C1" w14:textId="77777777" w:rsidR="009F762E" w:rsidRPr="00242DFB" w:rsidRDefault="00000000" w:rsidP="005B2285">
            <w:pPr>
              <w:spacing w:line="360" w:lineRule="auto"/>
              <w:jc w:val="right"/>
              <w:rPr>
                <w:rFonts w:ascii="Arial" w:eastAsia="Arial" w:hAnsi="Arial" w:cs="Arial"/>
                <w:b/>
                <w:bCs/>
                <w:color w:val="000000" w:themeColor="text1"/>
                <w:sz w:val="16"/>
                <w:szCs w:val="16"/>
              </w:rPr>
            </w:pPr>
            <w:r w:rsidRPr="00242DFB">
              <w:rPr>
                <w:rFonts w:ascii="Arial" w:eastAsia="Arial" w:hAnsi="Arial" w:cs="Arial"/>
                <w:b/>
                <w:bCs/>
                <w:color w:val="000000" w:themeColor="text1"/>
                <w:sz w:val="16"/>
                <w:szCs w:val="16"/>
              </w:rPr>
              <w:t>1.127.012</w:t>
            </w:r>
          </w:p>
        </w:tc>
        <w:tc>
          <w:tcPr>
            <w:tcW w:w="1074" w:type="dxa"/>
            <w:tcBorders>
              <w:top w:val="single" w:sz="4" w:space="0" w:color="000000"/>
              <w:left w:val="single" w:sz="4" w:space="0" w:color="000000"/>
              <w:bottom w:val="single" w:sz="4" w:space="0" w:color="000000"/>
              <w:right w:val="single" w:sz="4" w:space="0" w:color="000000"/>
            </w:tcBorders>
            <w:vAlign w:val="bottom"/>
          </w:tcPr>
          <w:p w14:paraId="6FAFB9D9" w14:textId="77777777" w:rsidR="009F762E" w:rsidRPr="00242DFB" w:rsidRDefault="00000000" w:rsidP="005B2285">
            <w:pPr>
              <w:spacing w:line="360" w:lineRule="auto"/>
              <w:jc w:val="right"/>
              <w:rPr>
                <w:rFonts w:ascii="Arial" w:eastAsia="Aptos Narrow" w:hAnsi="Arial" w:cs="Arial"/>
                <w:b/>
                <w:bCs/>
                <w:color w:val="000000" w:themeColor="text1"/>
                <w:sz w:val="16"/>
                <w:szCs w:val="16"/>
              </w:rPr>
            </w:pPr>
            <w:r w:rsidRPr="00242DFB">
              <w:rPr>
                <w:rFonts w:ascii="Arial" w:eastAsia="Aptos Narrow" w:hAnsi="Arial" w:cs="Arial"/>
                <w:b/>
                <w:bCs/>
                <w:color w:val="000000" w:themeColor="text1"/>
                <w:sz w:val="16"/>
                <w:szCs w:val="16"/>
              </w:rPr>
              <w:t>100,0%</w:t>
            </w:r>
          </w:p>
        </w:tc>
      </w:tr>
    </w:tbl>
    <w:p w14:paraId="2F86C128" w14:textId="77777777" w:rsidR="009F762E" w:rsidRPr="00242DFB" w:rsidRDefault="00000000" w:rsidP="005B2285">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 xml:space="preserve">Fuente: </w:t>
      </w:r>
      <w:hyperlink r:id="rId18">
        <w:r w:rsidRPr="00242DFB">
          <w:rPr>
            <w:rStyle w:val="Hipervnculo"/>
            <w:rFonts w:ascii="Arial" w:eastAsia="Arial" w:hAnsi="Arial" w:cs="Arial"/>
            <w:color w:val="000000" w:themeColor="text1"/>
            <w:sz w:val="16"/>
            <w:szCs w:val="16"/>
          </w:rPr>
          <w:t>https://www.minsalud.gov.co/proteccionsocial/Paginas/cifras-aseguramiento-salud.aspx</w:t>
        </w:r>
      </w:hyperlink>
      <w:r w:rsidRPr="00242DFB">
        <w:rPr>
          <w:rFonts w:ascii="Arial" w:eastAsia="Arial" w:hAnsi="Arial" w:cs="Arial"/>
          <w:color w:val="000000"/>
          <w:sz w:val="16"/>
          <w:szCs w:val="16"/>
        </w:rPr>
        <w:t>. Estadísticas Ministerio de Salud a diciembre de 2025.</w:t>
      </w:r>
    </w:p>
    <w:p w14:paraId="7E2C4D15" w14:textId="77777777" w:rsidR="0014328E" w:rsidRPr="00242DFB" w:rsidRDefault="0014328E" w:rsidP="005B2285">
      <w:pPr>
        <w:spacing w:line="360" w:lineRule="auto"/>
        <w:jc w:val="both"/>
        <w:rPr>
          <w:rFonts w:ascii="Arial" w:eastAsia="Arial" w:hAnsi="Arial" w:cs="Arial"/>
          <w:color w:val="000000"/>
        </w:rPr>
      </w:pPr>
    </w:p>
    <w:p w14:paraId="5FACE64F" w14:textId="3C21F7CD" w:rsidR="009F762E" w:rsidRPr="00242DFB"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t>El Decreto 0182 de 2026 del Ministerio de Salud y Protección Social modifica disposiciones relacionadas con la operación del aseguramiento con enfoque territorial y poblacional, e introduce criterios asociados al tamaño poblacional y a la participación de las EPS en los territorios. En este contexto, la operación de Capital Salud EPS-S en Soacha y en los demás territorios debe ser objeto de análisis técnico y jurídico específico, considerando las reglas de transición, participación mínima, habilitación y aplicabilidad normativa vigente antes de sustentar decisiones de reorganización territorial.</w:t>
      </w:r>
    </w:p>
    <w:p w14:paraId="070C492F" w14:textId="6D98AF83" w:rsidR="009F762E" w:rsidRPr="00242DFB" w:rsidRDefault="009F762E" w:rsidP="005B2285">
      <w:pPr>
        <w:spacing w:line="360" w:lineRule="auto"/>
        <w:jc w:val="center"/>
        <w:rPr>
          <w:rFonts w:ascii="Arial" w:eastAsia="Arial" w:hAnsi="Arial" w:cs="Arial"/>
          <w:color w:val="000000" w:themeColor="text1"/>
        </w:rPr>
      </w:pPr>
    </w:p>
    <w:p w14:paraId="57E3D202" w14:textId="71F15295" w:rsidR="00F62D73" w:rsidRPr="00242DFB" w:rsidRDefault="00F62D73" w:rsidP="005B2285">
      <w:pPr>
        <w:pStyle w:val="Descripcin"/>
        <w:keepNext/>
        <w:spacing w:after="0"/>
        <w:jc w:val="center"/>
        <w:rPr>
          <w:rFonts w:ascii="Arial" w:hAnsi="Arial" w:cs="Arial"/>
          <w:color w:val="auto"/>
          <w:sz w:val="24"/>
          <w:szCs w:val="24"/>
        </w:rPr>
      </w:pPr>
      <w:bookmarkStart w:id="23" w:name="_Toc233574867"/>
      <w:r w:rsidRPr="00242DFB">
        <w:rPr>
          <w:rFonts w:ascii="Arial" w:hAnsi="Arial" w:cs="Arial"/>
          <w:color w:val="auto"/>
          <w:sz w:val="24"/>
          <w:szCs w:val="24"/>
        </w:rPr>
        <w:lastRenderedPageBreak/>
        <w:t xml:space="preserve">Tabla </w:t>
      </w:r>
      <w:r w:rsidRPr="00242DFB">
        <w:rPr>
          <w:rFonts w:ascii="Arial" w:hAnsi="Arial" w:cs="Arial"/>
          <w:color w:val="auto"/>
          <w:sz w:val="24"/>
          <w:szCs w:val="24"/>
        </w:rPr>
        <w:fldChar w:fldCharType="begin"/>
      </w:r>
      <w:r w:rsidRPr="00242DFB">
        <w:rPr>
          <w:rFonts w:ascii="Arial" w:hAnsi="Arial" w:cs="Arial"/>
          <w:color w:val="auto"/>
          <w:sz w:val="24"/>
          <w:szCs w:val="24"/>
        </w:rPr>
        <w:instrText xml:space="preserve"> SEQ Tabla \* ARABIC </w:instrText>
      </w:r>
      <w:r w:rsidRPr="00242DFB">
        <w:rPr>
          <w:rFonts w:ascii="Arial" w:hAnsi="Arial" w:cs="Arial"/>
          <w:color w:val="auto"/>
          <w:sz w:val="24"/>
          <w:szCs w:val="24"/>
        </w:rPr>
        <w:fldChar w:fldCharType="separate"/>
      </w:r>
      <w:r w:rsidR="00B1210D">
        <w:rPr>
          <w:rFonts w:ascii="Arial" w:hAnsi="Arial" w:cs="Arial"/>
          <w:noProof/>
          <w:color w:val="auto"/>
          <w:sz w:val="24"/>
          <w:szCs w:val="24"/>
        </w:rPr>
        <w:t>7</w:t>
      </w:r>
      <w:r w:rsidRPr="00242DFB">
        <w:rPr>
          <w:rFonts w:ascii="Arial" w:hAnsi="Arial" w:cs="Arial"/>
          <w:color w:val="auto"/>
          <w:sz w:val="24"/>
          <w:szCs w:val="24"/>
        </w:rPr>
        <w:fldChar w:fldCharType="end"/>
      </w:r>
      <w:r w:rsidRPr="00242DFB">
        <w:rPr>
          <w:rFonts w:ascii="Arial" w:hAnsi="Arial" w:cs="Arial"/>
          <w:color w:val="auto"/>
          <w:sz w:val="24"/>
          <w:szCs w:val="24"/>
        </w:rPr>
        <w:t>. Afiliados a Capital Salud EPS-S en Bogotá por cruce Sisbén, diciembre de 2025</w:t>
      </w:r>
      <w:bookmarkEnd w:id="23"/>
    </w:p>
    <w:tbl>
      <w:tblPr>
        <w:tblW w:w="7077" w:type="dxa"/>
        <w:jc w:val="center"/>
        <w:tblLayout w:type="fixed"/>
        <w:tblCellMar>
          <w:left w:w="70" w:type="dxa"/>
          <w:right w:w="70" w:type="dxa"/>
        </w:tblCellMar>
        <w:tblLook w:val="04A0" w:firstRow="1" w:lastRow="0" w:firstColumn="1" w:lastColumn="0" w:noHBand="0" w:noVBand="1"/>
      </w:tblPr>
      <w:tblGrid>
        <w:gridCol w:w="5164"/>
        <w:gridCol w:w="1913"/>
      </w:tblGrid>
      <w:tr w:rsidR="004A3D85" w:rsidRPr="00242DFB" w14:paraId="6258C129" w14:textId="77777777" w:rsidTr="00F62D73">
        <w:trPr>
          <w:cantSplit/>
          <w:trHeight w:val="147"/>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7D603370" w14:textId="5E3A0893" w:rsidR="009F762E" w:rsidRPr="00242DFB" w:rsidRDefault="00000000" w:rsidP="005B2285">
            <w:pPr>
              <w:spacing w:line="360" w:lineRule="auto"/>
              <w:jc w:val="center"/>
              <w:rPr>
                <w:rFonts w:ascii="Arial" w:eastAsia="Arial" w:hAnsi="Arial" w:cs="Arial"/>
                <w:b/>
                <w:bCs/>
              </w:rPr>
            </w:pPr>
            <w:r w:rsidRPr="00242DFB">
              <w:rPr>
                <w:rFonts w:ascii="Arial" w:eastAsia="Arial" w:hAnsi="Arial" w:cs="Arial"/>
                <w:b/>
                <w:bCs/>
              </w:rPr>
              <w:t xml:space="preserve">Cruce </w:t>
            </w:r>
            <w:r w:rsidR="00F62D73" w:rsidRPr="00242DFB">
              <w:rPr>
                <w:rFonts w:ascii="Arial" w:eastAsia="Arial" w:hAnsi="Arial" w:cs="Arial"/>
                <w:b/>
                <w:bCs/>
              </w:rPr>
              <w:t>Sisbén</w:t>
            </w:r>
          </w:p>
        </w:tc>
        <w:tc>
          <w:tcPr>
            <w:tcW w:w="1913" w:type="dxa"/>
            <w:tcBorders>
              <w:top w:val="single" w:sz="4" w:space="0" w:color="000000"/>
              <w:left w:val="single" w:sz="4" w:space="0" w:color="000000"/>
              <w:bottom w:val="single" w:sz="4" w:space="0" w:color="000000"/>
              <w:right w:val="single" w:sz="4" w:space="0" w:color="000000"/>
            </w:tcBorders>
            <w:vAlign w:val="center"/>
          </w:tcPr>
          <w:p w14:paraId="6EA245B2" w14:textId="77777777" w:rsidR="009F762E" w:rsidRPr="00242DFB" w:rsidRDefault="00000000" w:rsidP="005B2285">
            <w:pPr>
              <w:spacing w:line="360" w:lineRule="auto"/>
              <w:jc w:val="center"/>
              <w:rPr>
                <w:rFonts w:ascii="Arial" w:eastAsia="Arial" w:hAnsi="Arial" w:cs="Arial"/>
                <w:b/>
                <w:bCs/>
              </w:rPr>
            </w:pPr>
            <w:proofErr w:type="spellStart"/>
            <w:r w:rsidRPr="00242DFB">
              <w:rPr>
                <w:rFonts w:ascii="Arial" w:eastAsia="Arial" w:hAnsi="Arial" w:cs="Arial"/>
                <w:b/>
                <w:bCs/>
              </w:rPr>
              <w:t>N°</w:t>
            </w:r>
            <w:proofErr w:type="spellEnd"/>
            <w:r w:rsidRPr="00242DFB">
              <w:rPr>
                <w:rFonts w:ascii="Arial" w:eastAsia="Arial" w:hAnsi="Arial" w:cs="Arial"/>
                <w:b/>
                <w:bCs/>
              </w:rPr>
              <w:t xml:space="preserve"> Afiliados</w:t>
            </w:r>
          </w:p>
        </w:tc>
      </w:tr>
      <w:tr w:rsidR="004A3D85" w:rsidRPr="00242DFB" w14:paraId="7B9C93BF" w14:textId="77777777" w:rsidTr="00F62D73">
        <w:trPr>
          <w:cantSplit/>
          <w:trHeight w:val="66"/>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01F739B5" w14:textId="77777777" w:rsidR="009F762E" w:rsidRPr="00242DFB" w:rsidRDefault="00000000" w:rsidP="005B2285">
            <w:pPr>
              <w:spacing w:line="360" w:lineRule="auto"/>
              <w:rPr>
                <w:rFonts w:ascii="Arial" w:eastAsia="Arial" w:hAnsi="Arial" w:cs="Arial"/>
              </w:rPr>
            </w:pPr>
            <w:r w:rsidRPr="00242DFB">
              <w:rPr>
                <w:rFonts w:ascii="Arial" w:eastAsia="Arial" w:hAnsi="Arial" w:cs="Arial"/>
              </w:rPr>
              <w:t>Afiliación de oficio sin Sisbén IV</w:t>
            </w:r>
          </w:p>
        </w:tc>
        <w:tc>
          <w:tcPr>
            <w:tcW w:w="1913" w:type="dxa"/>
            <w:tcBorders>
              <w:top w:val="single" w:sz="4" w:space="0" w:color="000000"/>
              <w:left w:val="single" w:sz="4" w:space="0" w:color="000000"/>
              <w:bottom w:val="single" w:sz="4" w:space="0" w:color="000000"/>
              <w:right w:val="single" w:sz="4" w:space="0" w:color="000000"/>
            </w:tcBorders>
            <w:vAlign w:val="bottom"/>
          </w:tcPr>
          <w:p w14:paraId="046D993E" w14:textId="77777777" w:rsidR="009F762E" w:rsidRPr="00242DFB" w:rsidRDefault="00000000" w:rsidP="005B2285">
            <w:pPr>
              <w:spacing w:line="360" w:lineRule="auto"/>
              <w:jc w:val="center"/>
              <w:rPr>
                <w:rFonts w:ascii="Arial" w:eastAsia="Arial" w:hAnsi="Arial" w:cs="Arial"/>
              </w:rPr>
            </w:pPr>
            <w:r w:rsidRPr="00242DFB">
              <w:rPr>
                <w:rFonts w:ascii="Arial" w:eastAsia="Arial" w:hAnsi="Arial" w:cs="Arial"/>
              </w:rPr>
              <w:t>18.546</w:t>
            </w:r>
          </w:p>
        </w:tc>
      </w:tr>
      <w:tr w:rsidR="004A3D85" w:rsidRPr="00242DFB" w14:paraId="0DB937BF" w14:textId="77777777" w:rsidTr="00F62D73">
        <w:trPr>
          <w:cantSplit/>
          <w:trHeight w:val="52"/>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40DD0E5F" w14:textId="77777777" w:rsidR="009F762E" w:rsidRPr="00242DFB" w:rsidRDefault="00000000" w:rsidP="005B2285">
            <w:pPr>
              <w:spacing w:line="360" w:lineRule="auto"/>
              <w:rPr>
                <w:rFonts w:ascii="Arial" w:eastAsia="Arial" w:hAnsi="Arial" w:cs="Arial"/>
              </w:rPr>
            </w:pPr>
            <w:r w:rsidRPr="00242DFB">
              <w:rPr>
                <w:rFonts w:ascii="Arial" w:eastAsia="Arial" w:hAnsi="Arial" w:cs="Arial"/>
              </w:rPr>
              <w:t>Con Sisbén IV - Grupo D</w:t>
            </w:r>
          </w:p>
        </w:tc>
        <w:tc>
          <w:tcPr>
            <w:tcW w:w="1913" w:type="dxa"/>
            <w:tcBorders>
              <w:top w:val="single" w:sz="4" w:space="0" w:color="000000"/>
              <w:left w:val="single" w:sz="4" w:space="0" w:color="000000"/>
              <w:bottom w:val="single" w:sz="4" w:space="0" w:color="000000"/>
              <w:right w:val="single" w:sz="4" w:space="0" w:color="000000"/>
            </w:tcBorders>
            <w:vAlign w:val="bottom"/>
          </w:tcPr>
          <w:p w14:paraId="7B7D3723" w14:textId="77777777" w:rsidR="009F762E" w:rsidRPr="00242DFB" w:rsidRDefault="00000000" w:rsidP="005B2285">
            <w:pPr>
              <w:spacing w:line="360" w:lineRule="auto"/>
              <w:jc w:val="center"/>
              <w:rPr>
                <w:rFonts w:ascii="Arial" w:eastAsia="Arial" w:hAnsi="Arial" w:cs="Arial"/>
              </w:rPr>
            </w:pPr>
            <w:r w:rsidRPr="00242DFB">
              <w:rPr>
                <w:rFonts w:ascii="Arial" w:eastAsia="Arial" w:hAnsi="Arial" w:cs="Arial"/>
              </w:rPr>
              <w:t>22.715</w:t>
            </w:r>
          </w:p>
        </w:tc>
      </w:tr>
      <w:tr w:rsidR="004A3D85" w:rsidRPr="00242DFB" w14:paraId="0DA3B318" w14:textId="77777777" w:rsidTr="00F62D73">
        <w:trPr>
          <w:cantSplit/>
          <w:trHeight w:val="52"/>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159C61F2" w14:textId="77777777" w:rsidR="009F762E" w:rsidRPr="00242DFB" w:rsidRDefault="00000000" w:rsidP="005B2285">
            <w:pPr>
              <w:spacing w:line="360" w:lineRule="auto"/>
              <w:rPr>
                <w:rFonts w:ascii="Arial" w:eastAsia="Arial" w:hAnsi="Arial" w:cs="Arial"/>
              </w:rPr>
            </w:pPr>
            <w:r w:rsidRPr="00242DFB">
              <w:rPr>
                <w:rFonts w:ascii="Arial" w:eastAsia="Arial" w:hAnsi="Arial" w:cs="Arial"/>
              </w:rPr>
              <w:t>Con Sisbén IV - Nivel 1</w:t>
            </w:r>
          </w:p>
        </w:tc>
        <w:tc>
          <w:tcPr>
            <w:tcW w:w="1913" w:type="dxa"/>
            <w:tcBorders>
              <w:top w:val="single" w:sz="4" w:space="0" w:color="000000"/>
              <w:left w:val="single" w:sz="4" w:space="0" w:color="000000"/>
              <w:bottom w:val="single" w:sz="4" w:space="0" w:color="000000"/>
              <w:right w:val="single" w:sz="4" w:space="0" w:color="000000"/>
            </w:tcBorders>
            <w:vAlign w:val="bottom"/>
          </w:tcPr>
          <w:p w14:paraId="2B66464D" w14:textId="77777777" w:rsidR="009F762E" w:rsidRPr="00242DFB" w:rsidRDefault="00000000" w:rsidP="005B2285">
            <w:pPr>
              <w:spacing w:line="360" w:lineRule="auto"/>
              <w:jc w:val="center"/>
              <w:rPr>
                <w:rFonts w:ascii="Arial" w:eastAsia="Arial" w:hAnsi="Arial" w:cs="Arial"/>
              </w:rPr>
            </w:pPr>
            <w:r w:rsidRPr="00242DFB">
              <w:rPr>
                <w:rFonts w:ascii="Arial" w:eastAsia="Arial" w:hAnsi="Arial" w:cs="Arial"/>
              </w:rPr>
              <w:t>286.785</w:t>
            </w:r>
          </w:p>
        </w:tc>
      </w:tr>
      <w:tr w:rsidR="004A3D85" w:rsidRPr="00242DFB" w14:paraId="7C826186" w14:textId="77777777" w:rsidTr="00F62D73">
        <w:trPr>
          <w:cantSplit/>
          <w:trHeight w:val="52"/>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5C1A5F42" w14:textId="77777777" w:rsidR="009F762E" w:rsidRPr="00242DFB" w:rsidRDefault="00000000" w:rsidP="005B2285">
            <w:pPr>
              <w:spacing w:line="360" w:lineRule="auto"/>
              <w:rPr>
                <w:rFonts w:ascii="Arial" w:eastAsia="Arial" w:hAnsi="Arial" w:cs="Arial"/>
              </w:rPr>
            </w:pPr>
            <w:r w:rsidRPr="00242DFB">
              <w:rPr>
                <w:rFonts w:ascii="Arial" w:eastAsia="Arial" w:hAnsi="Arial" w:cs="Arial"/>
              </w:rPr>
              <w:t>Con Sisbén IV - Nivel 2</w:t>
            </w:r>
          </w:p>
        </w:tc>
        <w:tc>
          <w:tcPr>
            <w:tcW w:w="1913" w:type="dxa"/>
            <w:tcBorders>
              <w:top w:val="single" w:sz="4" w:space="0" w:color="000000"/>
              <w:left w:val="single" w:sz="4" w:space="0" w:color="000000"/>
              <w:bottom w:val="single" w:sz="4" w:space="0" w:color="000000"/>
              <w:right w:val="single" w:sz="4" w:space="0" w:color="000000"/>
            </w:tcBorders>
            <w:vAlign w:val="bottom"/>
          </w:tcPr>
          <w:p w14:paraId="7AC54203" w14:textId="77777777" w:rsidR="009F762E" w:rsidRPr="00242DFB" w:rsidRDefault="00000000" w:rsidP="005B2285">
            <w:pPr>
              <w:spacing w:line="360" w:lineRule="auto"/>
              <w:jc w:val="center"/>
              <w:rPr>
                <w:rFonts w:ascii="Arial" w:eastAsia="Arial" w:hAnsi="Arial" w:cs="Arial"/>
              </w:rPr>
            </w:pPr>
            <w:r w:rsidRPr="00242DFB">
              <w:rPr>
                <w:rFonts w:ascii="Arial" w:eastAsia="Arial" w:hAnsi="Arial" w:cs="Arial"/>
              </w:rPr>
              <w:t>240.679</w:t>
            </w:r>
          </w:p>
        </w:tc>
      </w:tr>
      <w:tr w:rsidR="004A3D85" w:rsidRPr="00242DFB" w14:paraId="19AF79E3" w14:textId="77777777" w:rsidTr="00F62D73">
        <w:trPr>
          <w:cantSplit/>
          <w:trHeight w:val="93"/>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30E45C60" w14:textId="77777777" w:rsidR="009F762E" w:rsidRPr="00242DFB" w:rsidRDefault="00000000" w:rsidP="005B2285">
            <w:pPr>
              <w:spacing w:line="360" w:lineRule="auto"/>
              <w:rPr>
                <w:rFonts w:ascii="Arial" w:eastAsia="Arial" w:hAnsi="Arial" w:cs="Arial"/>
              </w:rPr>
            </w:pPr>
            <w:r w:rsidRPr="00242DFB">
              <w:rPr>
                <w:rFonts w:ascii="Arial" w:eastAsia="Arial" w:hAnsi="Arial" w:cs="Arial"/>
              </w:rPr>
              <w:t>Con Sisbén IV de Fuera de Bogotá</w:t>
            </w:r>
          </w:p>
        </w:tc>
        <w:tc>
          <w:tcPr>
            <w:tcW w:w="1913" w:type="dxa"/>
            <w:tcBorders>
              <w:top w:val="single" w:sz="4" w:space="0" w:color="000000"/>
              <w:left w:val="single" w:sz="4" w:space="0" w:color="000000"/>
              <w:bottom w:val="single" w:sz="4" w:space="0" w:color="000000"/>
              <w:right w:val="single" w:sz="4" w:space="0" w:color="000000"/>
            </w:tcBorders>
            <w:vAlign w:val="bottom"/>
          </w:tcPr>
          <w:p w14:paraId="43B88ABE" w14:textId="77777777" w:rsidR="009F762E" w:rsidRPr="00242DFB" w:rsidRDefault="00000000" w:rsidP="005B2285">
            <w:pPr>
              <w:spacing w:line="360" w:lineRule="auto"/>
              <w:jc w:val="center"/>
              <w:rPr>
                <w:rFonts w:ascii="Arial" w:eastAsia="Arial" w:hAnsi="Arial" w:cs="Arial"/>
              </w:rPr>
            </w:pPr>
            <w:r w:rsidRPr="00242DFB">
              <w:rPr>
                <w:rFonts w:ascii="Arial" w:eastAsia="Arial" w:hAnsi="Arial" w:cs="Arial"/>
              </w:rPr>
              <w:t>25.762</w:t>
            </w:r>
          </w:p>
        </w:tc>
      </w:tr>
      <w:tr w:rsidR="004A3D85" w:rsidRPr="00242DFB" w14:paraId="75072980" w14:textId="77777777" w:rsidTr="00F62D73">
        <w:trPr>
          <w:cantSplit/>
          <w:trHeight w:val="270"/>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7BE3AB4A" w14:textId="77777777" w:rsidR="009F762E" w:rsidRPr="00242DFB" w:rsidRDefault="00000000" w:rsidP="005B2285">
            <w:pPr>
              <w:spacing w:line="360" w:lineRule="auto"/>
              <w:rPr>
                <w:rFonts w:ascii="Arial" w:eastAsia="Arial" w:hAnsi="Arial" w:cs="Arial"/>
              </w:rPr>
            </w:pPr>
            <w:r w:rsidRPr="00242DFB">
              <w:rPr>
                <w:rFonts w:ascii="Arial" w:eastAsia="Arial" w:hAnsi="Arial" w:cs="Arial"/>
              </w:rPr>
              <w:t>Población especial que no requiere Sisbén</w:t>
            </w:r>
          </w:p>
        </w:tc>
        <w:tc>
          <w:tcPr>
            <w:tcW w:w="1913" w:type="dxa"/>
            <w:tcBorders>
              <w:top w:val="single" w:sz="4" w:space="0" w:color="000000"/>
              <w:left w:val="single" w:sz="4" w:space="0" w:color="000000"/>
              <w:bottom w:val="single" w:sz="4" w:space="0" w:color="000000"/>
              <w:right w:val="single" w:sz="4" w:space="0" w:color="000000"/>
            </w:tcBorders>
            <w:vAlign w:val="center"/>
          </w:tcPr>
          <w:p w14:paraId="682F2E11" w14:textId="77777777" w:rsidR="009F762E" w:rsidRPr="00242DFB" w:rsidRDefault="00000000" w:rsidP="005B2285">
            <w:pPr>
              <w:spacing w:line="360" w:lineRule="auto"/>
              <w:jc w:val="center"/>
              <w:rPr>
                <w:rFonts w:ascii="Arial" w:eastAsia="Arial" w:hAnsi="Arial" w:cs="Arial"/>
              </w:rPr>
            </w:pPr>
            <w:r w:rsidRPr="00242DFB">
              <w:rPr>
                <w:rFonts w:ascii="Arial" w:eastAsia="Arial" w:hAnsi="Arial" w:cs="Arial"/>
              </w:rPr>
              <w:t>98.098</w:t>
            </w:r>
          </w:p>
        </w:tc>
      </w:tr>
      <w:tr w:rsidR="004A3D85" w:rsidRPr="00242DFB" w14:paraId="462E0BEB" w14:textId="77777777" w:rsidTr="00F62D73">
        <w:trPr>
          <w:cantSplit/>
          <w:trHeight w:val="89"/>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2ECFFFD9" w14:textId="77777777" w:rsidR="009F762E" w:rsidRPr="00242DFB" w:rsidRDefault="00000000" w:rsidP="005B2285">
            <w:pPr>
              <w:spacing w:line="360" w:lineRule="auto"/>
              <w:rPr>
                <w:rFonts w:ascii="Arial" w:eastAsia="Arial" w:hAnsi="Arial" w:cs="Arial"/>
              </w:rPr>
            </w:pPr>
            <w:r w:rsidRPr="00242DFB">
              <w:rPr>
                <w:rFonts w:ascii="Arial" w:eastAsia="Arial" w:hAnsi="Arial" w:cs="Arial"/>
              </w:rPr>
              <w:t>Sin Sisbén IV - Adultos *</w:t>
            </w:r>
          </w:p>
        </w:tc>
        <w:tc>
          <w:tcPr>
            <w:tcW w:w="1913" w:type="dxa"/>
            <w:tcBorders>
              <w:top w:val="single" w:sz="4" w:space="0" w:color="000000"/>
              <w:left w:val="single" w:sz="4" w:space="0" w:color="000000"/>
              <w:bottom w:val="single" w:sz="4" w:space="0" w:color="000000"/>
              <w:right w:val="single" w:sz="4" w:space="0" w:color="000000"/>
            </w:tcBorders>
            <w:vAlign w:val="center"/>
          </w:tcPr>
          <w:p w14:paraId="7C96F47B" w14:textId="77777777" w:rsidR="009F762E" w:rsidRPr="00242DFB" w:rsidRDefault="00000000" w:rsidP="005B2285">
            <w:pPr>
              <w:spacing w:line="360" w:lineRule="auto"/>
              <w:jc w:val="center"/>
              <w:rPr>
                <w:rFonts w:ascii="Arial" w:eastAsia="Arial" w:hAnsi="Arial" w:cs="Arial"/>
              </w:rPr>
            </w:pPr>
            <w:r w:rsidRPr="00242DFB">
              <w:rPr>
                <w:rFonts w:ascii="Arial" w:eastAsia="Arial" w:hAnsi="Arial" w:cs="Arial"/>
              </w:rPr>
              <w:t>46.304</w:t>
            </w:r>
          </w:p>
        </w:tc>
      </w:tr>
      <w:tr w:rsidR="004A3D85" w:rsidRPr="00242DFB" w14:paraId="12C1A31C" w14:textId="77777777" w:rsidTr="00F62D73">
        <w:trPr>
          <w:cantSplit/>
          <w:trHeight w:val="52"/>
          <w:jc w:val="center"/>
        </w:trPr>
        <w:tc>
          <w:tcPr>
            <w:tcW w:w="5164" w:type="dxa"/>
            <w:tcBorders>
              <w:top w:val="single" w:sz="4" w:space="0" w:color="000000"/>
              <w:left w:val="single" w:sz="4" w:space="0" w:color="000000"/>
              <w:bottom w:val="single" w:sz="4" w:space="0" w:color="000000"/>
              <w:right w:val="single" w:sz="4" w:space="0" w:color="000000"/>
            </w:tcBorders>
            <w:vAlign w:val="center"/>
          </w:tcPr>
          <w:p w14:paraId="6F8C0C50" w14:textId="77777777" w:rsidR="009F762E" w:rsidRPr="00242DFB" w:rsidRDefault="00000000" w:rsidP="005B2285">
            <w:pPr>
              <w:spacing w:line="360" w:lineRule="auto"/>
              <w:rPr>
                <w:rFonts w:ascii="Arial" w:eastAsia="Arial" w:hAnsi="Arial" w:cs="Arial"/>
              </w:rPr>
            </w:pPr>
            <w:r w:rsidRPr="00242DFB">
              <w:rPr>
                <w:rFonts w:ascii="Arial" w:eastAsia="Arial" w:hAnsi="Arial" w:cs="Arial"/>
              </w:rPr>
              <w:t>Sin Sisbén IV - Menores de edad</w:t>
            </w:r>
          </w:p>
        </w:tc>
        <w:tc>
          <w:tcPr>
            <w:tcW w:w="1913" w:type="dxa"/>
            <w:tcBorders>
              <w:top w:val="single" w:sz="4" w:space="0" w:color="000000"/>
              <w:left w:val="single" w:sz="4" w:space="0" w:color="000000"/>
              <w:bottom w:val="single" w:sz="4" w:space="0" w:color="000000"/>
              <w:right w:val="single" w:sz="4" w:space="0" w:color="000000"/>
            </w:tcBorders>
            <w:vAlign w:val="center"/>
          </w:tcPr>
          <w:p w14:paraId="6AC14003" w14:textId="77777777" w:rsidR="009F762E" w:rsidRPr="00242DFB" w:rsidRDefault="00000000" w:rsidP="005B2285">
            <w:pPr>
              <w:spacing w:line="360" w:lineRule="auto"/>
              <w:jc w:val="center"/>
              <w:rPr>
                <w:rFonts w:ascii="Arial" w:eastAsia="Arial" w:hAnsi="Arial" w:cs="Arial"/>
              </w:rPr>
            </w:pPr>
            <w:r w:rsidRPr="00242DFB">
              <w:rPr>
                <w:rFonts w:ascii="Arial" w:eastAsia="Arial" w:hAnsi="Arial" w:cs="Arial"/>
              </w:rPr>
              <w:t>81.460</w:t>
            </w:r>
          </w:p>
        </w:tc>
      </w:tr>
      <w:tr w:rsidR="004A3D85" w:rsidRPr="00242DFB" w14:paraId="0A75A845" w14:textId="77777777" w:rsidTr="00F62D73">
        <w:trPr>
          <w:cantSplit/>
          <w:trHeight w:val="225"/>
          <w:jc w:val="center"/>
        </w:trPr>
        <w:tc>
          <w:tcPr>
            <w:tcW w:w="5164" w:type="dxa"/>
            <w:tcBorders>
              <w:top w:val="single" w:sz="4" w:space="0" w:color="000000"/>
              <w:left w:val="single" w:sz="4" w:space="0" w:color="000000"/>
              <w:bottom w:val="single" w:sz="4" w:space="0" w:color="000000"/>
              <w:right w:val="single" w:sz="4" w:space="0" w:color="000000"/>
            </w:tcBorders>
            <w:vAlign w:val="bottom"/>
          </w:tcPr>
          <w:p w14:paraId="299B31DB" w14:textId="4DBF2AD3" w:rsidR="009F762E" w:rsidRPr="00242DFB" w:rsidRDefault="00F62D73" w:rsidP="005B2285">
            <w:pPr>
              <w:spacing w:line="360" w:lineRule="auto"/>
              <w:rPr>
                <w:rFonts w:ascii="Arial" w:eastAsia="Arial" w:hAnsi="Arial" w:cs="Arial"/>
                <w:b/>
                <w:bCs/>
              </w:rPr>
            </w:pPr>
            <w:r w:rsidRPr="00242DFB">
              <w:rPr>
                <w:rFonts w:ascii="Arial" w:eastAsia="Arial" w:hAnsi="Arial" w:cs="Arial"/>
                <w:b/>
                <w:bCs/>
              </w:rPr>
              <w:t>Total,</w:t>
            </w:r>
            <w:r w:rsidR="00000000" w:rsidRPr="00242DFB">
              <w:rPr>
                <w:rFonts w:ascii="Arial" w:eastAsia="Arial" w:hAnsi="Arial" w:cs="Arial"/>
                <w:b/>
                <w:bCs/>
              </w:rPr>
              <w:t xml:space="preserve"> general</w:t>
            </w:r>
          </w:p>
        </w:tc>
        <w:tc>
          <w:tcPr>
            <w:tcW w:w="1913" w:type="dxa"/>
            <w:tcBorders>
              <w:top w:val="single" w:sz="4" w:space="0" w:color="000000"/>
              <w:left w:val="single" w:sz="4" w:space="0" w:color="000000"/>
              <w:bottom w:val="single" w:sz="4" w:space="0" w:color="000000"/>
              <w:right w:val="single" w:sz="4" w:space="0" w:color="000000"/>
            </w:tcBorders>
            <w:vAlign w:val="bottom"/>
          </w:tcPr>
          <w:p w14:paraId="41D45961" w14:textId="77777777" w:rsidR="009F762E" w:rsidRPr="00242DFB" w:rsidRDefault="00000000" w:rsidP="005B2285">
            <w:pPr>
              <w:spacing w:line="360" w:lineRule="auto"/>
              <w:jc w:val="center"/>
              <w:rPr>
                <w:rFonts w:ascii="Arial" w:eastAsia="Arial" w:hAnsi="Arial" w:cs="Arial"/>
                <w:b/>
                <w:bCs/>
              </w:rPr>
            </w:pPr>
            <w:r w:rsidRPr="00242DFB">
              <w:rPr>
                <w:rFonts w:ascii="Arial" w:eastAsia="Arial" w:hAnsi="Arial" w:cs="Arial"/>
                <w:b/>
                <w:bCs/>
              </w:rPr>
              <w:t>820.349</w:t>
            </w:r>
          </w:p>
        </w:tc>
      </w:tr>
    </w:tbl>
    <w:p w14:paraId="4C0B91A6" w14:textId="302B4AD7" w:rsidR="009F762E" w:rsidRPr="00242DFB" w:rsidRDefault="00F942AE" w:rsidP="005B2285">
      <w:pPr>
        <w:spacing w:line="360" w:lineRule="auto"/>
        <w:jc w:val="both"/>
        <w:rPr>
          <w:rFonts w:ascii="Arial" w:eastAsia="Arial" w:hAnsi="Arial" w:cs="Arial"/>
          <w:color w:val="000000" w:themeColor="text1"/>
          <w:sz w:val="16"/>
          <w:szCs w:val="16"/>
        </w:rPr>
      </w:pPr>
      <w:r w:rsidRPr="00242DFB">
        <w:rPr>
          <w:rFonts w:ascii="Arial" w:eastAsia="Arial" w:hAnsi="Arial" w:cs="Arial"/>
          <w:color w:val="000000"/>
          <w:sz w:val="16"/>
          <w:szCs w:val="16"/>
        </w:rPr>
        <w:t>Fuente: *</w:t>
      </w:r>
      <w:r w:rsidR="00000000" w:rsidRPr="00242DFB">
        <w:rPr>
          <w:rFonts w:ascii="Arial" w:eastAsia="Arial" w:hAnsi="Arial" w:cs="Arial"/>
          <w:color w:val="000000"/>
          <w:sz w:val="16"/>
          <w:szCs w:val="16"/>
        </w:rPr>
        <w:t xml:space="preserve"> Contributivo BDUA - ADRES, corte a 31 de </w:t>
      </w:r>
      <w:r w:rsidRPr="00242DFB">
        <w:rPr>
          <w:rFonts w:ascii="Arial" w:eastAsia="Arial" w:hAnsi="Arial" w:cs="Arial"/>
          <w:color w:val="000000"/>
          <w:sz w:val="16"/>
          <w:szCs w:val="16"/>
        </w:rPr>
        <w:t>diciembre</w:t>
      </w:r>
      <w:r w:rsidR="00000000" w:rsidRPr="00242DFB">
        <w:rPr>
          <w:rFonts w:ascii="Arial" w:eastAsia="Arial" w:hAnsi="Arial" w:cs="Arial"/>
          <w:color w:val="000000"/>
          <w:sz w:val="16"/>
          <w:szCs w:val="16"/>
        </w:rPr>
        <w:t xml:space="preserve"> de 2025.</w:t>
      </w:r>
      <w:r w:rsidRPr="00242DFB">
        <w:rPr>
          <w:rFonts w:ascii="Arial" w:eastAsia="Arial" w:hAnsi="Arial" w:cs="Arial"/>
          <w:color w:val="000000"/>
          <w:sz w:val="16"/>
          <w:szCs w:val="16"/>
        </w:rPr>
        <w:t xml:space="preserve"> </w:t>
      </w:r>
      <w:r w:rsidR="00000000" w:rsidRPr="00242DFB">
        <w:rPr>
          <w:rFonts w:ascii="Arial" w:eastAsia="Arial" w:hAnsi="Arial" w:cs="Arial"/>
          <w:color w:val="000000"/>
          <w:sz w:val="16"/>
          <w:szCs w:val="16"/>
        </w:rPr>
        <w:t xml:space="preserve">* Subsidiado BDUA - ADRES, corte a 31 de </w:t>
      </w:r>
      <w:r w:rsidR="00F62D73" w:rsidRPr="00242DFB">
        <w:rPr>
          <w:rFonts w:ascii="Arial" w:eastAsia="Arial" w:hAnsi="Arial" w:cs="Arial"/>
          <w:color w:val="000000"/>
          <w:sz w:val="16"/>
          <w:szCs w:val="16"/>
        </w:rPr>
        <w:t>diciembre</w:t>
      </w:r>
      <w:r w:rsidR="00000000" w:rsidRPr="00242DFB">
        <w:rPr>
          <w:rFonts w:ascii="Arial" w:eastAsia="Arial" w:hAnsi="Arial" w:cs="Arial"/>
          <w:color w:val="000000"/>
          <w:sz w:val="16"/>
          <w:szCs w:val="16"/>
        </w:rPr>
        <w:t xml:space="preserve"> de 2025.</w:t>
      </w:r>
    </w:p>
    <w:p w14:paraId="72DF5934" w14:textId="77777777" w:rsidR="009F762E" w:rsidRPr="00242DFB" w:rsidRDefault="009F762E" w:rsidP="005B2285">
      <w:pPr>
        <w:spacing w:line="360" w:lineRule="auto"/>
        <w:rPr>
          <w:rFonts w:ascii="Arial" w:hAnsi="Arial" w:cs="Arial"/>
          <w:color w:val="000000" w:themeColor="text1"/>
        </w:rPr>
      </w:pPr>
    </w:p>
    <w:p w14:paraId="7454A1C3" w14:textId="01492AC3" w:rsidR="004A3D85" w:rsidRPr="00242DFB" w:rsidRDefault="004A3D85" w:rsidP="005B2285">
      <w:pPr>
        <w:spacing w:line="360" w:lineRule="auto"/>
        <w:jc w:val="both"/>
        <w:rPr>
          <w:rFonts w:ascii="Arial" w:hAnsi="Arial" w:cs="Arial"/>
          <w:color w:val="000000" w:themeColor="text1"/>
        </w:rPr>
      </w:pPr>
      <w:r w:rsidRPr="00242DFB">
        <w:rPr>
          <w:rFonts w:ascii="Arial" w:hAnsi="Arial" w:cs="Arial"/>
          <w:color w:val="000000" w:themeColor="text1"/>
        </w:rPr>
        <w:t xml:space="preserve">En síntesis, </w:t>
      </w:r>
      <w:r w:rsidRPr="004A3D85">
        <w:rPr>
          <w:rFonts w:ascii="Arial" w:hAnsi="Arial" w:cs="Arial"/>
          <w:color w:val="000000" w:themeColor="text1"/>
        </w:rPr>
        <w:t>Capital Salud EPS-S es el quinto actor del aseguramiento en salud en Bogotá por volumen de afiliados, con una participación relevante dentro del total de la población asegurada en el Distrito Capital. Su importancia no se limita al número de usuarios afiliados, sino que adquiere una dimensión estratégica por la alta concentración de población del régimen subsidiado, la cual corresponde principalmente a grupos con mayores condiciones de vulnerabilidad social, económica y sanitaria.</w:t>
      </w:r>
    </w:p>
    <w:p w14:paraId="0BC78E05" w14:textId="77777777" w:rsidR="004A3D85" w:rsidRPr="004A3D85" w:rsidRDefault="004A3D85" w:rsidP="005B2285">
      <w:pPr>
        <w:spacing w:line="360" w:lineRule="auto"/>
        <w:jc w:val="both"/>
        <w:rPr>
          <w:rFonts w:ascii="Arial" w:hAnsi="Arial" w:cs="Arial"/>
          <w:color w:val="000000" w:themeColor="text1"/>
        </w:rPr>
      </w:pPr>
    </w:p>
    <w:p w14:paraId="6DCEB12C" w14:textId="77777777" w:rsidR="004A3D85" w:rsidRPr="00242DFB" w:rsidRDefault="004A3D85" w:rsidP="005B2285">
      <w:pPr>
        <w:spacing w:line="360" w:lineRule="auto"/>
        <w:jc w:val="both"/>
        <w:rPr>
          <w:rFonts w:ascii="Arial" w:hAnsi="Arial" w:cs="Arial"/>
          <w:color w:val="000000" w:themeColor="text1"/>
        </w:rPr>
      </w:pPr>
      <w:r w:rsidRPr="004A3D85">
        <w:rPr>
          <w:rFonts w:ascii="Arial" w:hAnsi="Arial" w:cs="Arial"/>
          <w:color w:val="000000" w:themeColor="text1"/>
        </w:rPr>
        <w:t>En este sentido, Capital Salud EPS-S constituye un actor clave para la garantía del derecho fundamental a la salud en Bogotá, dado que su desempeño incide directamente en el acceso, la oportunidad, la continuidad y la resolutividad de los servicios para una proporción significativa de la población más vulnerable de la ciudad. Por esta razón, los resultados de su gestión tienen impacto directo sobre indicadores sensibles del sistema distrital de salud, tales como la oportunidad en citas, la entrega de medicamentos, la gestión de PQRS, la referencia y contrarreferencia, la atención materno-perinatal, las coberturas de vacunación y la gestión integral del riesgo en salud.</w:t>
      </w:r>
    </w:p>
    <w:p w14:paraId="75408084" w14:textId="77777777" w:rsidR="004A3D85" w:rsidRPr="004A3D85" w:rsidRDefault="004A3D85" w:rsidP="005B2285">
      <w:pPr>
        <w:spacing w:line="360" w:lineRule="auto"/>
        <w:jc w:val="both"/>
        <w:rPr>
          <w:rFonts w:ascii="Arial" w:hAnsi="Arial" w:cs="Arial"/>
          <w:color w:val="000000" w:themeColor="text1"/>
        </w:rPr>
      </w:pPr>
    </w:p>
    <w:p w14:paraId="2D6FD527" w14:textId="77777777" w:rsidR="004A3D85" w:rsidRPr="004A3D85" w:rsidRDefault="004A3D85" w:rsidP="005B2285">
      <w:pPr>
        <w:spacing w:line="360" w:lineRule="auto"/>
        <w:jc w:val="both"/>
        <w:rPr>
          <w:rFonts w:ascii="Arial" w:hAnsi="Arial" w:cs="Arial"/>
          <w:color w:val="000000" w:themeColor="text1"/>
        </w:rPr>
      </w:pPr>
      <w:r w:rsidRPr="004A3D85">
        <w:rPr>
          <w:rFonts w:ascii="Arial" w:hAnsi="Arial" w:cs="Arial"/>
          <w:color w:val="000000" w:themeColor="text1"/>
        </w:rPr>
        <w:t>Adicionalmente, Capital Salud EPS-S representa un instrumento relevante de política pública para la implementación del Modelo de Salud MAS Bienestar, en la medida en que su operación se articula con las prioridades distritales de atención primaria, gestión territorial del riesgo, fortalecimiento de redes integradas, seguimiento a poblaciones priorizadas y reducción de barreras de acceso. En consecuencia, el comportamiento operativo, asistencial y financiero de la EPS no solo debe analizarse desde la perspectiva del aseguramiento, sino también como un factor determinante para la sostenibilidad, gobernanza y efectividad del modelo de salud de Bogotá.</w:t>
      </w:r>
    </w:p>
    <w:p w14:paraId="1F28D531" w14:textId="77777777" w:rsidR="004A3D85" w:rsidRPr="00242DFB" w:rsidRDefault="004A3D85" w:rsidP="005B2285">
      <w:pPr>
        <w:spacing w:line="360" w:lineRule="auto"/>
        <w:rPr>
          <w:rFonts w:ascii="Arial" w:hAnsi="Arial" w:cs="Arial"/>
          <w:color w:val="000000" w:themeColor="text1"/>
        </w:rPr>
      </w:pPr>
    </w:p>
    <w:p w14:paraId="772BE1AE" w14:textId="77777777" w:rsidR="009F762E" w:rsidRPr="00242DFB" w:rsidRDefault="00000000" w:rsidP="005B2285">
      <w:pPr>
        <w:pStyle w:val="Ttulo1"/>
        <w:numPr>
          <w:ilvl w:val="0"/>
          <w:numId w:val="7"/>
        </w:numPr>
        <w:spacing w:before="0" w:line="360" w:lineRule="auto"/>
        <w:jc w:val="both"/>
        <w:rPr>
          <w:rFonts w:ascii="Arial" w:eastAsia="Arial" w:hAnsi="Arial" w:cs="Arial"/>
          <w:b/>
          <w:bCs/>
          <w:color w:val="000000"/>
          <w:sz w:val="24"/>
          <w:szCs w:val="24"/>
        </w:rPr>
      </w:pPr>
      <w:bookmarkStart w:id="24" w:name="__RefHeading___Toc8574_542869190"/>
      <w:bookmarkStart w:id="25" w:name="_Toc230853762"/>
      <w:bookmarkStart w:id="26" w:name="_Toc233574824"/>
      <w:bookmarkEnd w:id="24"/>
      <w:r w:rsidRPr="00242DFB">
        <w:rPr>
          <w:rFonts w:ascii="Arial" w:eastAsia="Arial" w:hAnsi="Arial" w:cs="Arial"/>
          <w:b/>
          <w:bCs/>
          <w:color w:val="000000"/>
          <w:sz w:val="24"/>
          <w:szCs w:val="24"/>
        </w:rPr>
        <w:t>OBJETIVOS</w:t>
      </w:r>
      <w:bookmarkEnd w:id="25"/>
      <w:bookmarkEnd w:id="26"/>
    </w:p>
    <w:p w14:paraId="25B007E1" w14:textId="77777777" w:rsidR="00F942AE" w:rsidRPr="00242DFB" w:rsidRDefault="00F942AE" w:rsidP="005B2285">
      <w:pPr>
        <w:spacing w:line="360" w:lineRule="auto"/>
        <w:rPr>
          <w:rFonts w:ascii="Arial" w:eastAsia="Arial" w:hAnsi="Arial" w:cs="Arial"/>
        </w:rPr>
      </w:pPr>
    </w:p>
    <w:p w14:paraId="697DCC24" w14:textId="1C331355" w:rsidR="009F762E" w:rsidRPr="00242DFB" w:rsidRDefault="00250C25" w:rsidP="005B2285">
      <w:pPr>
        <w:pStyle w:val="Ttulo2"/>
        <w:numPr>
          <w:ilvl w:val="1"/>
          <w:numId w:val="7"/>
        </w:numPr>
        <w:spacing w:before="0" w:line="360" w:lineRule="auto"/>
        <w:jc w:val="both"/>
        <w:rPr>
          <w:rFonts w:ascii="Arial" w:eastAsia="Arial" w:hAnsi="Arial" w:cs="Arial"/>
          <w:b/>
          <w:bCs/>
          <w:color w:val="000000" w:themeColor="text1"/>
          <w:sz w:val="24"/>
          <w:szCs w:val="24"/>
        </w:rPr>
      </w:pPr>
      <w:bookmarkStart w:id="27" w:name="__RefHeading___Toc8576_542869190"/>
      <w:bookmarkStart w:id="28" w:name="_Toc230853763"/>
      <w:bookmarkEnd w:id="27"/>
      <w:r w:rsidRPr="00242DFB">
        <w:rPr>
          <w:rFonts w:ascii="Arial" w:eastAsia="Arial" w:hAnsi="Arial" w:cs="Arial"/>
          <w:b/>
          <w:bCs/>
          <w:color w:val="000000"/>
          <w:sz w:val="24"/>
          <w:szCs w:val="24"/>
        </w:rPr>
        <w:t xml:space="preserve"> </w:t>
      </w:r>
      <w:bookmarkStart w:id="29" w:name="_Toc233574825"/>
      <w:r w:rsidR="00000000" w:rsidRPr="00242DFB">
        <w:rPr>
          <w:rFonts w:ascii="Arial" w:eastAsia="Arial" w:hAnsi="Arial" w:cs="Arial"/>
          <w:b/>
          <w:bCs/>
          <w:color w:val="000000"/>
          <w:sz w:val="24"/>
          <w:szCs w:val="24"/>
        </w:rPr>
        <w:t>Objetivo general</w:t>
      </w:r>
      <w:bookmarkEnd w:id="28"/>
      <w:bookmarkEnd w:id="29"/>
    </w:p>
    <w:p w14:paraId="73B771A1" w14:textId="77777777" w:rsidR="00F942AE" w:rsidRPr="00242DFB" w:rsidRDefault="00F942AE" w:rsidP="005B2285">
      <w:pPr>
        <w:spacing w:line="360" w:lineRule="auto"/>
        <w:jc w:val="both"/>
        <w:rPr>
          <w:rFonts w:ascii="Arial" w:eastAsia="Arial" w:hAnsi="Arial" w:cs="Arial"/>
          <w:color w:val="000000"/>
        </w:rPr>
      </w:pPr>
    </w:p>
    <w:p w14:paraId="1A0D6BB4" w14:textId="153F7611"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Analizar de manera integral la operación de la Capital Salud EPS-S en Bogotá, a partir del estudio de las manifestaciones ciudadanas, el desempeño financiero, los resultados en salud y la gestión del riesgo, con el fin de sustentar la toma de decisiones estratégicas de la Secretaría Distrital de Salud</w:t>
      </w:r>
      <w:r w:rsidR="00F942AE" w:rsidRPr="00242DFB">
        <w:rPr>
          <w:rFonts w:ascii="Arial" w:eastAsia="Arial" w:hAnsi="Arial" w:cs="Arial"/>
          <w:color w:val="000000"/>
        </w:rPr>
        <w:t xml:space="preserve"> </w:t>
      </w:r>
      <w:r w:rsidRPr="00242DFB">
        <w:rPr>
          <w:rFonts w:ascii="Arial" w:eastAsia="Arial" w:hAnsi="Arial" w:cs="Arial"/>
          <w:color w:val="000000"/>
        </w:rPr>
        <w:t>en su calidad de Ente Territorial.</w:t>
      </w:r>
    </w:p>
    <w:p w14:paraId="0FE99E14" w14:textId="77777777" w:rsidR="009F762E" w:rsidRPr="00242DFB" w:rsidRDefault="009F762E" w:rsidP="005B2285">
      <w:pPr>
        <w:spacing w:line="360" w:lineRule="auto"/>
        <w:jc w:val="both"/>
        <w:rPr>
          <w:rFonts w:ascii="Arial" w:eastAsia="Arial" w:hAnsi="Arial" w:cs="Arial"/>
          <w:color w:val="000000" w:themeColor="text1"/>
        </w:rPr>
      </w:pPr>
    </w:p>
    <w:p w14:paraId="106215E6" w14:textId="7D2C0119" w:rsidR="009F762E" w:rsidRPr="00242DFB" w:rsidRDefault="00250C25" w:rsidP="005B2285">
      <w:pPr>
        <w:pStyle w:val="Ttulo2"/>
        <w:numPr>
          <w:ilvl w:val="1"/>
          <w:numId w:val="7"/>
        </w:numPr>
        <w:spacing w:before="0" w:line="360" w:lineRule="auto"/>
        <w:jc w:val="both"/>
        <w:rPr>
          <w:rFonts w:ascii="Arial" w:eastAsia="Arial" w:hAnsi="Arial" w:cs="Arial"/>
          <w:b/>
          <w:bCs/>
          <w:color w:val="000000" w:themeColor="text1"/>
          <w:sz w:val="24"/>
          <w:szCs w:val="24"/>
        </w:rPr>
      </w:pPr>
      <w:bookmarkStart w:id="30" w:name="__RefHeading___Toc8578_542869190"/>
      <w:bookmarkStart w:id="31" w:name="_Toc230853764"/>
      <w:bookmarkEnd w:id="30"/>
      <w:r w:rsidRPr="00242DFB">
        <w:rPr>
          <w:rFonts w:ascii="Arial" w:eastAsia="Arial" w:hAnsi="Arial" w:cs="Arial"/>
          <w:b/>
          <w:bCs/>
          <w:color w:val="000000"/>
          <w:sz w:val="24"/>
          <w:szCs w:val="24"/>
        </w:rPr>
        <w:t xml:space="preserve"> </w:t>
      </w:r>
      <w:bookmarkStart w:id="32" w:name="_Toc233574826"/>
      <w:r w:rsidR="00000000" w:rsidRPr="00242DFB">
        <w:rPr>
          <w:rFonts w:ascii="Arial" w:eastAsia="Arial" w:hAnsi="Arial" w:cs="Arial"/>
          <w:b/>
          <w:bCs/>
          <w:color w:val="000000"/>
          <w:sz w:val="24"/>
          <w:szCs w:val="24"/>
        </w:rPr>
        <w:t>Objetivos específicos</w:t>
      </w:r>
      <w:bookmarkEnd w:id="31"/>
      <w:bookmarkEnd w:id="32"/>
    </w:p>
    <w:p w14:paraId="1DEEC79D" w14:textId="77777777" w:rsidR="009F762E" w:rsidRPr="00242DFB" w:rsidRDefault="009F762E" w:rsidP="005B2285">
      <w:pPr>
        <w:spacing w:line="360" w:lineRule="auto"/>
        <w:jc w:val="both"/>
        <w:rPr>
          <w:rFonts w:ascii="Arial" w:hAnsi="Arial" w:cs="Arial"/>
          <w:color w:val="000000" w:themeColor="text1"/>
        </w:rPr>
      </w:pPr>
    </w:p>
    <w:p w14:paraId="6C6C8835" w14:textId="77777777" w:rsidR="009F762E" w:rsidRPr="00242DFB" w:rsidRDefault="00000000" w:rsidP="005B2285">
      <w:pPr>
        <w:spacing w:line="360" w:lineRule="auto"/>
        <w:jc w:val="both"/>
        <w:rPr>
          <w:rFonts w:ascii="Arial" w:eastAsia="Arial" w:hAnsi="Arial" w:cs="Arial"/>
          <w:color w:val="000000" w:themeColor="text1"/>
        </w:rPr>
      </w:pPr>
      <w:r w:rsidRPr="00242DFB">
        <w:rPr>
          <w:rStyle w:val="s1"/>
          <w:rFonts w:ascii="Arial" w:eastAsia="Arial" w:hAnsi="Arial" w:cs="Arial"/>
          <w:color w:val="000000"/>
        </w:rPr>
        <w:t>3.2.1 Examinar el comportamiento de las Manifestaciones Ciudadanas —Peticiones, Quejas, Reclamos, Sugerencias y Denuncias (PQRS)—, evaluando su volumen, tipología, oportunidad de respuesta y efectividad en la gestión, e identificando su relación con la experiencia del usuario y las principales barreras de acceso a los servicios de salud en Bogotá.</w:t>
      </w:r>
    </w:p>
    <w:p w14:paraId="1AB23F9C" w14:textId="77777777" w:rsidR="009F762E" w:rsidRPr="00242DFB" w:rsidRDefault="009F762E" w:rsidP="005B2285">
      <w:pPr>
        <w:spacing w:line="360" w:lineRule="auto"/>
        <w:jc w:val="both"/>
        <w:rPr>
          <w:rFonts w:ascii="Arial" w:eastAsia="Arial" w:hAnsi="Arial" w:cs="Arial"/>
          <w:color w:val="000000" w:themeColor="text1"/>
        </w:rPr>
      </w:pPr>
    </w:p>
    <w:p w14:paraId="433EFBF1" w14:textId="77777777" w:rsidR="009F762E" w:rsidRPr="00242DFB" w:rsidRDefault="00000000" w:rsidP="005B2285">
      <w:pPr>
        <w:spacing w:line="360" w:lineRule="auto"/>
        <w:jc w:val="both"/>
        <w:rPr>
          <w:rFonts w:ascii="Arial" w:eastAsia="Arial" w:hAnsi="Arial" w:cs="Arial"/>
          <w:color w:val="000000" w:themeColor="text1"/>
        </w:rPr>
      </w:pPr>
      <w:r w:rsidRPr="00242DFB">
        <w:rPr>
          <w:rStyle w:val="s1"/>
          <w:rFonts w:ascii="Arial" w:eastAsia="Arial" w:hAnsi="Arial" w:cs="Arial"/>
          <w:color w:val="000000"/>
        </w:rPr>
        <w:t xml:space="preserve">3.2.2 Analizar la situación financiera y la solvencia de la Capital Salud EPS-S, mediante la revisión de sus principales indicadores financieros y su evolución, para </w:t>
      </w:r>
      <w:r w:rsidRPr="00242DFB">
        <w:rPr>
          <w:rStyle w:val="s1"/>
          <w:rFonts w:ascii="Arial" w:eastAsia="Arial" w:hAnsi="Arial" w:cs="Arial"/>
          <w:color w:val="000000"/>
        </w:rPr>
        <w:lastRenderedPageBreak/>
        <w:t>valorar su incidencia en la capacidad de la entidad de garantizar la continuidad, oportunidad y calidad en la prestación de los servicios de salud.</w:t>
      </w:r>
    </w:p>
    <w:p w14:paraId="62543633" w14:textId="77777777" w:rsidR="009F762E" w:rsidRPr="00242DFB" w:rsidRDefault="009F762E" w:rsidP="005B2285">
      <w:pPr>
        <w:spacing w:line="360" w:lineRule="auto"/>
        <w:jc w:val="both"/>
        <w:rPr>
          <w:rFonts w:ascii="Arial" w:eastAsia="Arial" w:hAnsi="Arial" w:cs="Arial"/>
          <w:color w:val="000000" w:themeColor="text1"/>
        </w:rPr>
      </w:pPr>
    </w:p>
    <w:p w14:paraId="53B020B6" w14:textId="77777777" w:rsidR="009F762E" w:rsidRPr="00242DFB" w:rsidRDefault="00000000" w:rsidP="005B2285">
      <w:pPr>
        <w:spacing w:line="360" w:lineRule="auto"/>
        <w:jc w:val="both"/>
        <w:rPr>
          <w:rFonts w:ascii="Arial" w:eastAsia="Arial" w:hAnsi="Arial" w:cs="Arial"/>
          <w:color w:val="000000" w:themeColor="text1"/>
        </w:rPr>
      </w:pPr>
      <w:r w:rsidRPr="00242DFB">
        <w:rPr>
          <w:rStyle w:val="s1"/>
          <w:rFonts w:ascii="Arial" w:eastAsia="Arial" w:hAnsi="Arial" w:cs="Arial"/>
          <w:color w:val="000000"/>
        </w:rPr>
        <w:t>3.2.3 Evaluar la gestión del riesgo en salud de Capital Salud EPS-S, con énfasis en la implementación de la Ruta Integral de Atención Materno Perinatal, a partir del análisis de eventos trazadores de mortalidad materna y de las acciones de demanda inducida orientadas a la identificación y seguimiento de gestantes en riesgo.</w:t>
      </w:r>
    </w:p>
    <w:p w14:paraId="26E3CC52" w14:textId="77777777" w:rsidR="009F762E" w:rsidRPr="00242DFB" w:rsidRDefault="009F762E" w:rsidP="005B2285">
      <w:pPr>
        <w:spacing w:line="360" w:lineRule="auto"/>
        <w:jc w:val="both"/>
        <w:rPr>
          <w:rFonts w:ascii="Arial" w:eastAsia="Arial" w:hAnsi="Arial" w:cs="Arial"/>
          <w:color w:val="000000" w:themeColor="text1"/>
        </w:rPr>
      </w:pPr>
    </w:p>
    <w:p w14:paraId="0C223657" w14:textId="77777777" w:rsidR="009F762E" w:rsidRPr="00242DFB" w:rsidRDefault="00000000" w:rsidP="005B2285">
      <w:pPr>
        <w:spacing w:line="360" w:lineRule="auto"/>
        <w:jc w:val="both"/>
        <w:rPr>
          <w:rFonts w:ascii="Arial" w:eastAsia="Arial" w:hAnsi="Arial" w:cs="Arial"/>
          <w:color w:val="000000" w:themeColor="text1"/>
        </w:rPr>
      </w:pPr>
      <w:r w:rsidRPr="00242DFB">
        <w:rPr>
          <w:rStyle w:val="s1"/>
          <w:rFonts w:ascii="Arial" w:eastAsia="Arial" w:hAnsi="Arial" w:cs="Arial"/>
          <w:color w:val="000000"/>
        </w:rPr>
        <w:t>3.2.4 Analizar la oportunidad, suficiencia y funcionamiento de la red prestadora de servicios de salud, a partir de indicadores de oportunidad en la asignación de citas y de la gestión de la entidad, con el fin de identificar barreras administrativas y operativas que afecten el acceso efectivo, la continuidad y la resolutividad de la atención.</w:t>
      </w:r>
    </w:p>
    <w:p w14:paraId="178B6533" w14:textId="77777777" w:rsidR="009F762E" w:rsidRPr="00242DFB" w:rsidRDefault="009F762E" w:rsidP="005B2285">
      <w:pPr>
        <w:spacing w:line="360" w:lineRule="auto"/>
        <w:jc w:val="both"/>
        <w:rPr>
          <w:rFonts w:ascii="Arial" w:eastAsia="Arial" w:hAnsi="Arial" w:cs="Arial"/>
          <w:color w:val="000000" w:themeColor="text1"/>
        </w:rPr>
      </w:pPr>
    </w:p>
    <w:p w14:paraId="59B614D7" w14:textId="77777777" w:rsidR="009F762E" w:rsidRPr="00242DFB" w:rsidRDefault="00000000" w:rsidP="005B2285">
      <w:pPr>
        <w:pStyle w:val="Ttulo1"/>
        <w:numPr>
          <w:ilvl w:val="0"/>
          <w:numId w:val="7"/>
        </w:numPr>
        <w:spacing w:before="0" w:line="360" w:lineRule="auto"/>
        <w:jc w:val="both"/>
        <w:rPr>
          <w:rFonts w:ascii="Arial" w:eastAsia="Arial" w:hAnsi="Arial" w:cs="Arial"/>
          <w:b/>
          <w:bCs/>
          <w:color w:val="000000" w:themeColor="text1"/>
          <w:sz w:val="24"/>
          <w:szCs w:val="24"/>
        </w:rPr>
      </w:pPr>
      <w:bookmarkStart w:id="33" w:name="__RefHeading___Toc8580_542869190"/>
      <w:bookmarkStart w:id="34" w:name="_Toc230853765"/>
      <w:bookmarkStart w:id="35" w:name="_Toc233574827"/>
      <w:bookmarkEnd w:id="33"/>
      <w:r w:rsidRPr="00242DFB">
        <w:rPr>
          <w:rFonts w:ascii="Arial" w:eastAsia="Arial" w:hAnsi="Arial" w:cs="Arial"/>
          <w:b/>
          <w:bCs/>
          <w:color w:val="000000"/>
          <w:sz w:val="24"/>
          <w:szCs w:val="24"/>
        </w:rPr>
        <w:t>RECLAMACIONES EN SALUD</w:t>
      </w:r>
      <w:r w:rsidRPr="00242DFB">
        <w:rPr>
          <w:rStyle w:val="Refdenotaalpie"/>
          <w:rFonts w:ascii="Arial" w:eastAsia="Arial" w:hAnsi="Arial" w:cs="Arial"/>
          <w:b/>
          <w:bCs/>
          <w:color w:val="000000"/>
          <w:sz w:val="24"/>
          <w:szCs w:val="24"/>
        </w:rPr>
        <w:footnoteReference w:id="4"/>
      </w:r>
      <w:bookmarkEnd w:id="34"/>
      <w:bookmarkEnd w:id="35"/>
      <w:r w:rsidRPr="00242DFB">
        <w:rPr>
          <w:rFonts w:ascii="Arial" w:eastAsia="Arial" w:hAnsi="Arial" w:cs="Arial"/>
          <w:b/>
          <w:bCs/>
          <w:color w:val="000000"/>
          <w:sz w:val="24"/>
          <w:szCs w:val="24"/>
        </w:rPr>
        <w:t xml:space="preserve"> </w:t>
      </w:r>
    </w:p>
    <w:p w14:paraId="394A689A" w14:textId="77777777" w:rsidR="009F762E" w:rsidRPr="00242DFB" w:rsidRDefault="009F762E" w:rsidP="005B2285">
      <w:pPr>
        <w:spacing w:line="360" w:lineRule="auto"/>
        <w:jc w:val="both"/>
        <w:rPr>
          <w:rFonts w:ascii="Arial" w:hAnsi="Arial" w:cs="Arial"/>
          <w:color w:val="000000" w:themeColor="text1"/>
        </w:rPr>
      </w:pPr>
    </w:p>
    <w:p w14:paraId="4EB0B0A8"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En el marco del análisis de la experiencia de los usuarios y del desempeño operativo de la entidad, la tasa de reclamos en salud constituye un indicador clave para identificar presuntas barreras de acceso, dificultades en la oportunidad de la atención y fallas en la capacidad de respuesta institucional. Su seguimiento en el tiempo permite reconocer tendencias, dimensionar la magnitud del deterioro o mejoría en la gestión del aseguramiento y sustentar la priorización de acciones de inspección, vigilancia y seguimiento.</w:t>
      </w:r>
    </w:p>
    <w:p w14:paraId="6B75FBF7" w14:textId="77777777" w:rsidR="009F762E" w:rsidRPr="00242DFB" w:rsidRDefault="009F762E" w:rsidP="005B2285">
      <w:pPr>
        <w:spacing w:line="360" w:lineRule="auto"/>
        <w:jc w:val="both"/>
        <w:rPr>
          <w:rFonts w:ascii="Arial" w:eastAsia="Arial" w:hAnsi="Arial" w:cs="Arial"/>
          <w:color w:val="000000" w:themeColor="text1"/>
        </w:rPr>
      </w:pPr>
    </w:p>
    <w:p w14:paraId="285011E4" w14:textId="77777777" w:rsidR="009F762E" w:rsidRPr="00242DFB"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lastRenderedPageBreak/>
        <w:t>A continuación, la gráfica 3 muestra el comportamiento de la tasa de reclamos en salud acumulados en 12 meses de Capital Salud EPS-S en Bogotá D.C. durante el periodo 2020-2025. El análisis evidencia una tendencia creciente en la frecuencia de reclamaciones reportadas por los afiliados, lo que sugiere un aumento progresivo en las inconformidades relacionadas con el acceso, oportunidad, continuidad y resolución de necesidades en salud.</w:t>
      </w:r>
    </w:p>
    <w:p w14:paraId="66403623" w14:textId="77777777" w:rsidR="00D91970" w:rsidRPr="00242DFB" w:rsidRDefault="00D91970" w:rsidP="005B2285">
      <w:pPr>
        <w:spacing w:line="360" w:lineRule="auto"/>
        <w:jc w:val="both"/>
        <w:rPr>
          <w:rFonts w:ascii="Arial" w:eastAsia="Arial" w:hAnsi="Arial" w:cs="Arial"/>
          <w:color w:val="000000" w:themeColor="text1"/>
        </w:rPr>
      </w:pPr>
    </w:p>
    <w:p w14:paraId="22CB25AE"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El comportamiento observado permite identificar un deterioro sostenido en la experiencia de los usuarios, especialmente en los últimos años del periodo analizado, donde la curva de crecimiento presenta una aceleración importante. Este incremento en la tasa de reclamos puede asociarse a mayores dificultades en la capacidad de respuesta institucional, incremento en barreras administrativas y presiones sobre la red de prestación de servicios, particularmente considerando el volumen de afiliados que administra la EPS en Bogotá D.C. y municipios circunvecino en este caso Soacha.</w:t>
      </w:r>
    </w:p>
    <w:p w14:paraId="6671537C" w14:textId="77777777" w:rsidR="009F762E" w:rsidRPr="00242DFB" w:rsidRDefault="009F762E" w:rsidP="005B2285">
      <w:pPr>
        <w:spacing w:line="360" w:lineRule="auto"/>
        <w:jc w:val="both"/>
        <w:rPr>
          <w:rFonts w:ascii="Arial" w:eastAsia="Arial" w:hAnsi="Arial" w:cs="Arial"/>
          <w:color w:val="000000" w:themeColor="text1"/>
        </w:rPr>
      </w:pPr>
    </w:p>
    <w:p w14:paraId="5750DA5B" w14:textId="23E56129" w:rsidR="00D60344" w:rsidRPr="00242DFB" w:rsidRDefault="00D60344" w:rsidP="005B2285">
      <w:pPr>
        <w:spacing w:line="360" w:lineRule="auto"/>
        <w:jc w:val="center"/>
        <w:rPr>
          <w:rFonts w:ascii="Arial" w:hAnsi="Arial" w:cs="Arial"/>
          <w:i/>
          <w:iCs/>
          <w:color w:val="000000" w:themeColor="text1"/>
        </w:rPr>
      </w:pPr>
      <w:bookmarkStart w:id="36" w:name="_Toc233568859"/>
      <w:r w:rsidRPr="00242DFB">
        <w:rPr>
          <w:rFonts w:ascii="Arial" w:hAnsi="Arial" w:cs="Arial"/>
          <w:i/>
          <w:iCs/>
          <w:color w:val="000000" w:themeColor="text1"/>
        </w:rPr>
        <w:t xml:space="preserve">Gráfica </w:t>
      </w:r>
      <w:r w:rsidRPr="00242DFB">
        <w:rPr>
          <w:rFonts w:ascii="Arial" w:hAnsi="Arial" w:cs="Arial"/>
          <w:i/>
          <w:iCs/>
          <w:color w:val="000000" w:themeColor="text1"/>
        </w:rPr>
        <w:fldChar w:fldCharType="begin"/>
      </w:r>
      <w:r w:rsidRPr="00242DFB">
        <w:rPr>
          <w:rFonts w:ascii="Arial" w:hAnsi="Arial" w:cs="Arial"/>
          <w:i/>
          <w:iCs/>
          <w:color w:val="000000" w:themeColor="text1"/>
        </w:rPr>
        <w:instrText xml:space="preserve"> SEQ Gráfica \* ARABIC </w:instrText>
      </w:r>
      <w:r w:rsidRPr="00242DFB">
        <w:rPr>
          <w:rFonts w:ascii="Arial" w:hAnsi="Arial" w:cs="Arial"/>
          <w:i/>
          <w:iCs/>
          <w:color w:val="000000" w:themeColor="text1"/>
        </w:rPr>
        <w:fldChar w:fldCharType="separate"/>
      </w:r>
      <w:r w:rsidR="004F456A">
        <w:rPr>
          <w:rFonts w:ascii="Arial" w:hAnsi="Arial" w:cs="Arial"/>
          <w:i/>
          <w:iCs/>
          <w:noProof/>
          <w:color w:val="000000" w:themeColor="text1"/>
        </w:rPr>
        <w:t>3</w:t>
      </w:r>
      <w:r w:rsidRPr="00242DFB">
        <w:rPr>
          <w:rFonts w:ascii="Arial" w:hAnsi="Arial" w:cs="Arial"/>
          <w:i/>
          <w:iCs/>
          <w:color w:val="000000" w:themeColor="text1"/>
        </w:rPr>
        <w:fldChar w:fldCharType="end"/>
      </w:r>
      <w:r w:rsidRPr="00242DFB">
        <w:rPr>
          <w:rFonts w:ascii="Arial" w:hAnsi="Arial" w:cs="Arial"/>
          <w:i/>
          <w:iCs/>
          <w:color w:val="000000" w:themeColor="text1"/>
        </w:rPr>
        <w:t>. Tasa de reclamos en salud acumulados en 12 meses Capital Salud EPS-S 2020-2025, Bogotá D.C.</w:t>
      </w:r>
      <w:bookmarkEnd w:id="36"/>
    </w:p>
    <w:p w14:paraId="2731AB80" w14:textId="0BBB337C" w:rsidR="009F762E" w:rsidRPr="00242DFB" w:rsidRDefault="00762BCE" w:rsidP="005B2285">
      <w:pPr>
        <w:spacing w:line="360" w:lineRule="auto"/>
        <w:jc w:val="center"/>
        <w:rPr>
          <w:rFonts w:ascii="Arial" w:hAnsi="Arial" w:cs="Arial"/>
          <w:color w:val="000000" w:themeColor="text1"/>
        </w:rPr>
      </w:pPr>
      <w:r w:rsidRPr="00242DFB">
        <w:rPr>
          <w:rFonts w:ascii="Arial" w:hAnsi="Arial" w:cs="Arial"/>
          <w:noProof/>
          <w:sz w:val="22"/>
          <w:szCs w:val="22"/>
          <w:lang w:eastAsia="es-CO"/>
        </w:rPr>
        <mc:AlternateContent>
          <mc:Choice Requires="wpg">
            <w:drawing>
              <wp:anchor distT="0" distB="0" distL="114300" distR="114300" simplePos="0" relativeHeight="251663872" behindDoc="0" locked="0" layoutInCell="1" allowOverlap="1" wp14:anchorId="125B0F93" wp14:editId="4078355B">
                <wp:simplePos x="0" y="0"/>
                <wp:positionH relativeFrom="column">
                  <wp:posOffset>270933</wp:posOffset>
                </wp:positionH>
                <wp:positionV relativeFrom="paragraph">
                  <wp:posOffset>1667510</wp:posOffset>
                </wp:positionV>
                <wp:extent cx="4869180" cy="295910"/>
                <wp:effectExtent l="38100" t="0" r="0" b="8890"/>
                <wp:wrapNone/>
                <wp:docPr id="21" name="Grupo 21"/>
                <wp:cNvGraphicFramePr/>
                <a:graphic xmlns:a="http://schemas.openxmlformats.org/drawingml/2006/main">
                  <a:graphicData uri="http://schemas.microsoft.com/office/word/2010/wordprocessingGroup">
                    <wpg:wgp>
                      <wpg:cNvGrpSpPr/>
                      <wpg:grpSpPr>
                        <a:xfrm>
                          <a:off x="0" y="0"/>
                          <a:ext cx="4869180" cy="295910"/>
                          <a:chOff x="44450" y="0"/>
                          <a:chExt cx="4869180" cy="295910"/>
                        </a:xfrm>
                      </wpg:grpSpPr>
                      <wps:wsp>
                        <wps:cNvPr id="19" name="Conector recto de flecha 5"/>
                        <wps:cNvCnPr/>
                        <wps:spPr>
                          <a:xfrm>
                            <a:off x="44450" y="161925"/>
                            <a:ext cx="4869180" cy="0"/>
                          </a:xfrm>
                          <a:prstGeom prst="straightConnector1">
                            <a:avLst/>
                          </a:prstGeom>
                          <a:ln w="28575">
                            <a:solidFill>
                              <a:srgbClr val="C00000"/>
                            </a:solidFill>
                            <a:prstDash val="sysDot"/>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20" name="CuadroTexto 2"/>
                        <wps:cNvSpPr txBox="1"/>
                        <wps:spPr>
                          <a:xfrm>
                            <a:off x="2009516" y="0"/>
                            <a:ext cx="1076325" cy="295910"/>
                          </a:xfrm>
                          <a:prstGeom prst="rect">
                            <a:avLst/>
                          </a:prstGeom>
                          <a:solidFill>
                            <a:schemeClr val="bg1"/>
                          </a:solidFill>
                        </wps:spPr>
                        <wps:txbx>
                          <w:txbxContent>
                            <w:p w14:paraId="2A237A9E" w14:textId="0D82E9A6" w:rsidR="00762BCE" w:rsidRPr="00681C70" w:rsidRDefault="00762BCE" w:rsidP="00762BCE">
                              <w:pPr>
                                <w:jc w:val="center"/>
                                <w:rPr>
                                  <w:rFonts w:ascii="Arial" w:eastAsia="Arial" w:hAnsi="Arial"/>
                                  <w:b/>
                                  <w:bCs/>
                                  <w:color w:val="000000" w:themeColor="text1"/>
                                  <w:sz w:val="28"/>
                                  <w:szCs w:val="28"/>
                                  <w:lang w:val="es-ES"/>
                                </w:rPr>
                              </w:pPr>
                              <w:r>
                                <w:rPr>
                                  <w:rFonts w:ascii="Arial" w:eastAsia="Arial" w:hAnsi="Arial"/>
                                  <w:b/>
                                  <w:bCs/>
                                  <w:color w:val="000000" w:themeColor="text1"/>
                                  <w:sz w:val="28"/>
                                  <w:szCs w:val="28"/>
                                  <w:lang w:val="es-ES"/>
                                </w:rPr>
                                <w:t>118,4</w:t>
                              </w:r>
                              <w:r w:rsidRPr="00681C70">
                                <w:rPr>
                                  <w:rFonts w:ascii="Arial" w:eastAsia="Arial" w:hAnsi="Arial"/>
                                  <w:b/>
                                  <w:bCs/>
                                  <w:color w:val="000000" w:themeColor="text1"/>
                                  <w:sz w:val="28"/>
                                  <w:szCs w:val="28"/>
                                  <w:lang w:val="es-ES"/>
                                </w:rPr>
                                <w:t>%</w:t>
                              </w:r>
                            </w:p>
                          </w:txbxContent>
                        </wps:txbx>
                        <wps:bodyPr wrap="square">
                          <a:spAutoFit/>
                        </wps:bodyPr>
                      </wps:wsp>
                    </wpg:wgp>
                  </a:graphicData>
                </a:graphic>
                <wp14:sizeRelH relativeFrom="margin">
                  <wp14:pctWidth>0</wp14:pctWidth>
                </wp14:sizeRelH>
              </wp:anchor>
            </w:drawing>
          </mc:Choice>
          <mc:Fallback>
            <w:pict>
              <v:group w14:anchorId="125B0F93" id="Grupo 21" o:spid="_x0000_s1026" style="position:absolute;left:0;text-align:left;margin-left:21.35pt;margin-top:131.3pt;width:383.4pt;height:23.3pt;z-index:251663872;mso-width-relative:margin" coordorigin="444" coordsize="48691,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zdj3QIAADMHAAAOAAAAZHJzL2Uyb0RvYy54bWy0VV1v2jAUfZ+0/2Dlfc3HgEJUqDZo+zJt&#10;1dr9AOM4iSXH9mxDwr/ftZ0EyugmdRoPIcn98Lnnnntzc9s1HO2pNkyKZZReJRGigsiCiWoZ/Xi+&#10;/zCPkLFYFJhLQZfRgZrodvX+3U2rcprJWvKCagRJhMlbtYxqa1Uex4bUtMHmSioqwFhK3WALj7qK&#10;C41byN7wOEuSWdxKXSgtCTUG3m6CMVr5/GVJif1WloZaxJcRYLP+qv11667x6gbnlcaqZqSHgd+A&#10;osFMwKFjqg22GO00+y1Vw4iWRpb2isgmlmXJCPU1QDVpclbNg5Y75Wup8rZSI01A7RlPb05Lvu4f&#10;tHpSjxqYaFUFXPgnV0tX6sb9A0rUecoOI2W0s4jAy8l8tkjnwCwBW7aYLtKeU1ID8S5sMplMwX4M&#10;JfXdn4Pj4ej4BaBWgUTMkQXzbyw81VhRT67JgYVHjVgBCl5ESOAGlLoGvRIrNdLuDxUUlZySGqOp&#10;E40DA1Fr0RNncgMcXmDtWH46SxeZD8b5Rfo8c2PxOFfa2AcqG+RulpGxGrOqtgAsIEu94vD+i7GA&#10;CAKHAAeDC9RCR+bT66l3M5Kz4p5x7oxGV9s112iPYSzWifu5oiDFCzeXb4NNHfzMwWykDRNTU1zc&#10;iQLZgwKqrGZYVJwGm8WMX7ZBfi7gGEdeoMvf2QOnAfJ3WkIXQDRZwOy2AB2BYkKosGmPlAvwdmEl&#10;FDUGJn8P7P1dKPUbYgwOhPrd89qpY4Q/WQo7BjdMSH3pdNsNkMvgPzAQ6nYUbGVx8ELy1IDIg8D+&#10;u9ozGMxe7TtcaPkMupQocwz3AnebAdnus4Sm+DKOvRumdFwQsI8X03R2OuuDztPkevYRxH+2Jl4X&#10;uxs6T+Yr8n6h07OObauB8BOvM9HZbtv1VQbyUQsfARiynzus3VqAUVCfdlbeMz9cxy713fNN8gsK&#10;NrMfnf4r4lb/6bP3P37rVr8AAAD//wMAUEsDBBQABgAIAAAAIQAY4Kkp4gAAAAoBAAAPAAAAZHJz&#10;L2Rvd25yZXYueG1sTI/BTsMwEETvSPyDtUjcqB2XhjZkU1UVcKqQaJEQNzfeJlFjO4rdJP17zAmO&#10;q3maeZuvJ9OygXrfOIuQzAQwsqXTja0QPg+vD0tgPiirVessIVzJw7q4vclVpt1oP2jYh4rFEusz&#10;hVCH0GWc+7Imo/zMdWRjdnK9USGefcV1r8ZYblouhUi5UY2NC7XqaFtTed5fDMLbqMbNPHkZdufT&#10;9vp9WLx/7RJCvL+bNs/AAk3hD4Zf/agORXQ6uovVnrUIj/IpkggylSmwCCzFagHsiDAXKwm8yPn/&#10;F4ofAAAA//8DAFBLAQItABQABgAIAAAAIQC2gziS/gAAAOEBAAATAAAAAAAAAAAAAAAAAAAAAABb&#10;Q29udGVudF9UeXBlc10ueG1sUEsBAi0AFAAGAAgAAAAhADj9If/WAAAAlAEAAAsAAAAAAAAAAAAA&#10;AAAALwEAAF9yZWxzLy5yZWxzUEsBAi0AFAAGAAgAAAAhAKCfN2PdAgAAMwcAAA4AAAAAAAAAAAAA&#10;AAAALgIAAGRycy9lMm9Eb2MueG1sUEsBAi0AFAAGAAgAAAAhABjgqSniAAAACgEAAA8AAAAAAAAA&#10;AAAAAAAANwUAAGRycy9kb3ducmV2LnhtbFBLBQYAAAAABAAEAPMAAABGBgAAAAA=&#10;">
                <v:shapetype id="_x0000_t32" coordsize="21600,21600" o:spt="32" o:oned="t" path="m,l21600,21600e" filled="f">
                  <v:path arrowok="t" fillok="f" o:connecttype="none"/>
                  <o:lock v:ext="edit" shapetype="t"/>
                </v:shapetype>
                <v:shape id="Conector recto de flecha 5" o:spid="_x0000_s1027" type="#_x0000_t32" style="position:absolute;left:444;top:1619;width:486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ny3wQAAANsAAAAPAAAAZHJzL2Rvd25yZXYueG1sRI9BawIx&#10;EIXvBf9DGMFbzW6V4q5GkYLgtSp4HTbjJrqZLEmq2/76piD0NsN775s3q83gOnGnEK1nBeW0AEHc&#10;eG25VXA67l4XIGJC1th5JgXfFGGzHr2ssNb+wZ90P6RWZAjHGhWYlPpaytgYchinvifO2sUHhymv&#10;oZU64CPDXSffiuJdOrScLxjs6cNQczt8uUxZ9KWlsqrOP3Zm5rPrDsO1U2oyHrZLEImG9G9+pvc6&#10;16/g75c8gFz/AgAA//8DAFBLAQItABQABgAIAAAAIQDb4fbL7gAAAIUBAAATAAAAAAAAAAAAAAAA&#10;AAAAAABbQ29udGVudF9UeXBlc10ueG1sUEsBAi0AFAAGAAgAAAAhAFr0LFu/AAAAFQEAAAsAAAAA&#10;AAAAAAAAAAAAHwEAAF9yZWxzLy5yZWxzUEsBAi0AFAAGAAgAAAAhAFEGfLfBAAAA2wAAAA8AAAAA&#10;AAAAAAAAAAAABwIAAGRycy9kb3ducmV2LnhtbFBLBQYAAAAAAwADALcAAAD1AgAAAAA=&#10;" strokecolor="#c00000" strokeweight="2.25pt">
                  <v:stroke dashstyle="1 1" startarrow="block" endarrow="block" joinstyle="miter"/>
                </v:shape>
                <v:shapetype id="_x0000_t202" coordsize="21600,21600" o:spt="202" path="m,l,21600r21600,l21600,xe">
                  <v:stroke joinstyle="miter"/>
                  <v:path gradientshapeok="t" o:connecttype="rect"/>
                </v:shapetype>
                <v:shape id="CuadroTexto 2" o:spid="_x0000_s1028" type="#_x0000_t202" style="position:absolute;left:20095;width:1076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79LvgAAANsAAAAPAAAAZHJzL2Rvd25yZXYueG1sRE9Ni8Iw&#10;EL0v+B/CCN7W1CIi1SgqFCruRXfxPDZjW2wmoYla//3mIHh8vO/lujeteFDnG8sKJuMEBHFpdcOV&#10;gr/f/HsOwgdkja1lUvAiD+vV4GuJmbZPPtLjFCoRQ9hnqKAOwWVS+rImg35sHXHkrrYzGCLsKqk7&#10;fMZw08o0SWbSYMOxoUZHu5rK2+luFMzc2W3v6b7Xh/wH22luZXEplBoN+80CRKA+fMRvd6EVpHF9&#10;/BJ/gFz9AwAA//8DAFBLAQItABQABgAIAAAAIQDb4fbL7gAAAIUBAAATAAAAAAAAAAAAAAAAAAAA&#10;AABbQ29udGVudF9UeXBlc10ueG1sUEsBAi0AFAAGAAgAAAAhAFr0LFu/AAAAFQEAAAsAAAAAAAAA&#10;AAAAAAAAHwEAAF9yZWxzLy5yZWxzUEsBAi0AFAAGAAgAAAAhAIbLv0u+AAAA2wAAAA8AAAAAAAAA&#10;AAAAAAAABwIAAGRycy9kb3ducmV2LnhtbFBLBQYAAAAAAwADALcAAADyAgAAAAA=&#10;" fillcolor="white [3212]" stroked="f">
                  <v:textbox style="mso-fit-shape-to-text:t">
                    <w:txbxContent>
                      <w:p w14:paraId="2A237A9E" w14:textId="0D82E9A6" w:rsidR="00762BCE" w:rsidRPr="00681C70" w:rsidRDefault="00762BCE" w:rsidP="00762BCE">
                        <w:pPr>
                          <w:jc w:val="center"/>
                          <w:rPr>
                            <w:rFonts w:ascii="Arial" w:eastAsia="Arial" w:hAnsi="Arial"/>
                            <w:b/>
                            <w:bCs/>
                            <w:color w:val="000000" w:themeColor="text1"/>
                            <w:sz w:val="28"/>
                            <w:szCs w:val="28"/>
                            <w:lang w:val="es-ES"/>
                          </w:rPr>
                        </w:pPr>
                        <w:r>
                          <w:rPr>
                            <w:rFonts w:ascii="Arial" w:eastAsia="Arial" w:hAnsi="Arial"/>
                            <w:b/>
                            <w:bCs/>
                            <w:color w:val="000000" w:themeColor="text1"/>
                            <w:sz w:val="28"/>
                            <w:szCs w:val="28"/>
                            <w:lang w:val="es-ES"/>
                          </w:rPr>
                          <w:t>118,4</w:t>
                        </w:r>
                        <w:r w:rsidRPr="00681C70">
                          <w:rPr>
                            <w:rFonts w:ascii="Arial" w:eastAsia="Arial" w:hAnsi="Arial"/>
                            <w:b/>
                            <w:bCs/>
                            <w:color w:val="000000" w:themeColor="text1"/>
                            <w:sz w:val="28"/>
                            <w:szCs w:val="28"/>
                            <w:lang w:val="es-ES"/>
                          </w:rPr>
                          <w:t>%</w:t>
                        </w:r>
                      </w:p>
                    </w:txbxContent>
                  </v:textbox>
                </v:shape>
              </v:group>
            </w:pict>
          </mc:Fallback>
        </mc:AlternateContent>
      </w:r>
      <w:r w:rsidR="00D60344" w:rsidRPr="00242DFB">
        <w:rPr>
          <w:rFonts w:ascii="Arial" w:hAnsi="Arial" w:cs="Arial"/>
          <w:noProof/>
        </w:rPr>
        <mc:AlternateContent>
          <mc:Choice Requires="wps">
            <w:drawing>
              <wp:anchor distT="0" distB="0" distL="114300" distR="114300" simplePos="0" relativeHeight="251661824" behindDoc="0" locked="0" layoutInCell="1" allowOverlap="1" wp14:anchorId="42A1FB34" wp14:editId="2A87FBBB">
                <wp:simplePos x="0" y="0"/>
                <wp:positionH relativeFrom="column">
                  <wp:posOffset>4999990</wp:posOffset>
                </wp:positionH>
                <wp:positionV relativeFrom="paragraph">
                  <wp:posOffset>575309</wp:posOffset>
                </wp:positionV>
                <wp:extent cx="862224" cy="422592"/>
                <wp:effectExtent l="0" t="8890" r="5715" b="5715"/>
                <wp:wrapNone/>
                <wp:docPr id="17" name="Flecha: a la derecha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62224" cy="422592"/>
                        </a:xfrm>
                        <a:prstGeom prst="rightArrow">
                          <a:avLst/>
                        </a:prstGeom>
                        <a:solidFill>
                          <a:srgbClr val="C00000"/>
                        </a:solidFill>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215A1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17" o:spid="_x0000_s1026" type="#_x0000_t13" style="position:absolute;margin-left:393.7pt;margin-top:45.3pt;width:67.9pt;height:33.25pt;rotation:-9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NtLiQIAAHQFAAAOAAAAZHJzL2Uyb0RvYy54bWysVMFu2zAMvQ/YPwi6r46NtGuDOkWQosOA&#10;oC3aDj0rshQbk0WNUuJkXz9Kdtyi63YY5oNgiuQj+UTy8mrfGrZT6BuwJc9PJpwpK6Fq7Kbk355u&#10;Pp1z5oOwlTBgVckPyvOr+ccPl52bqQJqMJVCRiDWzzpX8joEN8syL2vVCn8CTllSasBWBBJxk1Uo&#10;OkJvTVZMJmdZB1g5BKm8p9vrXsnnCV9rJcOd1l4FZkpOuYV0YjrX8czml2K2QeHqRg5piH/IohWN&#10;paAj1LUIgm2x+Q2qbSSCBx1OJLQZaN1IlWqgavLJm2oea+FUqoXI8W6kyf8/WHm7e3T3GFP3bgXy&#10;uydGss752aiJgh9s9hpbhkA05mdEP32paqqD7ROph5FUtQ9M0uX5WVEUU84kqaZFcXpRRNIzMYtY&#10;Ma5DH74oaFn8KTk2mzosEKFL0GK38qF3OBqmZME01U1jTBJws14aZDtBr7zs0+pd/ItZKqqvI1UU&#10;DkZFZ2MflGZNRakWKWLqPTXiCSmVDYOqFpXqw+SnsfghSuzW6JHqSoARWVN6I3b+N+weZrCPriq1&#10;7ujcs/yHxHrn0SNFBhtG57axgO9FNyEfCtC9/fDyvqcmsrSG6nCP/YvT+Hgnbxp6pZXw4V4gTQpd&#10;0vSHOzq0ga7kMPxxVgP+fO8+2lMDk5azjiav5P7HVqDizHy11NoX+XQaRzUJ09PPBQn4WrN+rbHb&#10;dgn07HnKLv1G+2COvxqhfaYlsYhRSSWspNgllwGPwjL0G4HWjFSLRTKj8XQirOyjkxE8shr772n/&#10;LNANrRqox2/hOKVi9qZXe9voaWGxDaCb1MgvvA5802inxhnWUNwdr+Vk9bIs578AAAD//wMAUEsD&#10;BBQABgAIAAAAIQBHQB/q3gAAAAoBAAAPAAAAZHJzL2Rvd25yZXYueG1sTI/BSsQwEIbvgu8QRvDm&#10;JhvZJVubLiJ6EUGs9Z5tYlO2mZQmu60+veNJT8MwH/98f7lfwsDObkp9RA3rlQDmsI22x05D8/50&#10;o4ClbNCaIaLT8OUS7KvLi9IUNs745s517hiFYCqMBp/zWHCeWu+CSas4OqTbZ5yCybROHbeTmSk8&#10;DFwKseXB9EgfvBndg3ftsT4FDbWXcnebxPFlfrXPDTaP4eNbaH19tdzfActuyX8w/OqTOlTkdIgn&#10;tIkNGpSU1CVr2GxpEqCU2gA7ELlbK+BVyf9XqH4AAAD//wMAUEsBAi0AFAAGAAgAAAAhALaDOJL+&#10;AAAA4QEAABMAAAAAAAAAAAAAAAAAAAAAAFtDb250ZW50X1R5cGVzXS54bWxQSwECLQAUAAYACAAA&#10;ACEAOP0h/9YAAACUAQAACwAAAAAAAAAAAAAAAAAvAQAAX3JlbHMvLnJlbHNQSwECLQAUAAYACAAA&#10;ACEAqdjbS4kCAAB0BQAADgAAAAAAAAAAAAAAAAAuAgAAZHJzL2Uyb0RvYy54bWxQSwECLQAUAAYA&#10;CAAAACEAR0Af6t4AAAAKAQAADwAAAAAAAAAAAAAAAADjBAAAZHJzL2Rvd25yZXYueG1sUEsFBgAA&#10;AAAEAAQA8wAAAO4FAAAAAA==&#10;" adj="16307" fillcolor="#c00000" stroked="f" strokeweight="1pt"/>
            </w:pict>
          </mc:Fallback>
        </mc:AlternateContent>
      </w:r>
      <w:r w:rsidR="00843D08" w:rsidRPr="00242DFB">
        <w:rPr>
          <w:rFonts w:ascii="Arial" w:hAnsi="Arial" w:cs="Arial"/>
          <w:noProof/>
        </w:rPr>
        <w:drawing>
          <wp:inline distT="0" distB="0" distL="0" distR="0" wp14:anchorId="114BC78D" wp14:editId="3DD0F646">
            <wp:extent cx="5782310" cy="2472267"/>
            <wp:effectExtent l="0" t="0" r="8890" b="4445"/>
            <wp:docPr id="15" name="Gráfico 15">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78D0D44" w14:textId="1E6B1DEA" w:rsidR="009F762E" w:rsidRPr="00242DFB" w:rsidRDefault="00000000" w:rsidP="005B2285">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 xml:space="preserve">Fuente: Reclamos en salud por EPS Histórico Nacional de la Supersalud, consultado el 26 de mayo de 2026 en: </w:t>
      </w:r>
      <w:hyperlink r:id="rId20">
        <w:r w:rsidRPr="00242DFB">
          <w:rPr>
            <w:rStyle w:val="Hipervnculo"/>
            <w:rFonts w:ascii="Arial" w:eastAsia="Arial" w:hAnsi="Arial" w:cs="Arial"/>
            <w:color w:val="000000" w:themeColor="text1"/>
            <w:sz w:val="16"/>
            <w:szCs w:val="16"/>
          </w:rPr>
          <w:t>https://app.powerbi.com/viewr=eyJrIjoiYTMwY2Y4ZjEtNWI0MC00YjAxLThjOGUtMjdiYWZhZjVlZjgzIiwidCI6IjE3YzQwYzUxLWIxZGYtNGUyNS04Y2Q2LTlkMGQyNjc4ODMwMCIsImMiOjR9</w:t>
        </w:r>
      </w:hyperlink>
      <w:r w:rsidRPr="00242DFB">
        <w:rPr>
          <w:rFonts w:ascii="Arial" w:eastAsia="Arial" w:hAnsi="Arial" w:cs="Arial"/>
          <w:color w:val="000000"/>
          <w:sz w:val="16"/>
          <w:szCs w:val="16"/>
        </w:rPr>
        <w:t xml:space="preserve"> </w:t>
      </w:r>
    </w:p>
    <w:p w14:paraId="3942B349" w14:textId="59256C5E" w:rsidR="009F762E" w:rsidRPr="00242DFB" w:rsidRDefault="009F762E" w:rsidP="005B2285">
      <w:pPr>
        <w:spacing w:line="360" w:lineRule="auto"/>
        <w:jc w:val="both"/>
        <w:rPr>
          <w:rFonts w:ascii="Arial" w:eastAsia="Arial" w:hAnsi="Arial" w:cs="Arial"/>
          <w:color w:val="000000" w:themeColor="text1"/>
        </w:rPr>
      </w:pPr>
    </w:p>
    <w:p w14:paraId="4EE4B93B"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lastRenderedPageBreak/>
        <w:t>Tomando como referencia todo el periodo, la gráfica reporta un aumento acumulado aproximado de 118,4 %, lo que indica que en 2025 la tasa de reclamos en salud de Capital Salud EPS-S fue más de dos veces la observada en 2020. Desde una lectura técnica, este comportamiento evidencia un deterioro progresivo en la experiencia de los usuarios y en la capacidad de respuesta operativa de la entidad, particularmente en componentes asociados a acceso, oportunidad, continuidad y resolución efectiva de necesidades en salud. El incremento sostenido observado durante el periodo analizado sugiere una profundización gradual de las barreras percibidas por los afiliados y una mayor presión sobre la gestión institucional y la red prestadora de servicios.</w:t>
      </w:r>
    </w:p>
    <w:p w14:paraId="37A2F1BD" w14:textId="77777777" w:rsidR="009F762E" w:rsidRPr="00242DFB" w:rsidRDefault="009F762E" w:rsidP="005B2285">
      <w:pPr>
        <w:spacing w:line="360" w:lineRule="auto"/>
        <w:jc w:val="both"/>
        <w:rPr>
          <w:rFonts w:ascii="Arial" w:eastAsia="Arial" w:hAnsi="Arial" w:cs="Arial"/>
          <w:color w:val="000000" w:themeColor="text1"/>
        </w:rPr>
      </w:pPr>
    </w:p>
    <w:p w14:paraId="0120A952"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Según la información histórica publicada por la Superintendencia Nacional de Salud, en 2025 para el régimen contributivo y subsidiado, Capital Salud EPS-S ocupó el segundo lugar a nivel nacional entre las EPS con mayor tasa de reclamos en salud acumulada por cada 10.000 afiliados, registrando una tasa de 289,82 reclamos, cifra superior al promedio general del sistema de salud. En términos interpretativos, este resultado ubica a Capital Salud EPS-S como una de las entidades con mayor frecuencia de reclamaciones reportadas por sus afiliados, lo que sugiere mayores niveles de insatisfacción y posibles barreras percibidas en la prestación de los servicios de salud. Por tanto, su comportamiento amerita priorización en acciones de seguimiento, vigilancia y gestión correctiva orientadas a disminuir la recurrencia de reclamos y fortalecer la capacidad de respuesta institucional.</w:t>
      </w:r>
    </w:p>
    <w:p w14:paraId="5D0C511B" w14:textId="77777777" w:rsidR="009F762E" w:rsidRPr="00242DFB" w:rsidRDefault="009F762E" w:rsidP="005B2285">
      <w:pPr>
        <w:spacing w:line="360" w:lineRule="auto"/>
        <w:jc w:val="both"/>
        <w:rPr>
          <w:rFonts w:ascii="Arial" w:eastAsia="Arial" w:hAnsi="Arial" w:cs="Arial"/>
          <w:color w:val="000000" w:themeColor="text1"/>
        </w:rPr>
      </w:pPr>
    </w:p>
    <w:p w14:paraId="3C9059FE" w14:textId="77777777" w:rsidR="009F762E" w:rsidRPr="00242DFB" w:rsidRDefault="00000000" w:rsidP="005B2285">
      <w:pPr>
        <w:pStyle w:val="Ttulo2"/>
        <w:numPr>
          <w:ilvl w:val="1"/>
          <w:numId w:val="7"/>
        </w:numPr>
        <w:spacing w:before="0" w:line="360" w:lineRule="auto"/>
        <w:jc w:val="both"/>
        <w:rPr>
          <w:rFonts w:ascii="Arial" w:eastAsia="Arial" w:hAnsi="Arial" w:cs="Arial"/>
          <w:b/>
          <w:bCs/>
          <w:color w:val="000000" w:themeColor="text1"/>
          <w:sz w:val="24"/>
          <w:szCs w:val="24"/>
        </w:rPr>
      </w:pPr>
      <w:bookmarkStart w:id="37" w:name="__RefHeading___Toc8582_542869190"/>
      <w:bookmarkStart w:id="38" w:name="_Toc222732190"/>
      <w:bookmarkStart w:id="39" w:name="_Toc230853766"/>
      <w:bookmarkStart w:id="40" w:name="_Toc233574828"/>
      <w:bookmarkEnd w:id="37"/>
      <w:bookmarkEnd w:id="38"/>
      <w:r w:rsidRPr="00242DFB">
        <w:rPr>
          <w:rFonts w:ascii="Arial" w:eastAsia="Arial" w:hAnsi="Arial" w:cs="Arial"/>
          <w:b/>
          <w:bCs/>
          <w:color w:val="000000"/>
          <w:sz w:val="24"/>
          <w:szCs w:val="24"/>
        </w:rPr>
        <w:t>Comportamiento de las Reclamaciones – Capital Salud EPS-S</w:t>
      </w:r>
      <w:bookmarkEnd w:id="39"/>
      <w:bookmarkEnd w:id="40"/>
    </w:p>
    <w:p w14:paraId="08D93AC5"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Las peticiones en materia de salud se enmarcan de manera general en el artículo 20 de la Ley 1437 de 2011, sustituido por el artículo 1 de la Ley 1755 de 2015. En consecuencia, la Superintendencia Nacional de Salud, mediante la Circular Externa 2023151000000010-5 de 2023 define los siguientes términos:</w:t>
      </w:r>
    </w:p>
    <w:p w14:paraId="10B054B6" w14:textId="77777777" w:rsidR="009F762E" w:rsidRPr="00242DFB" w:rsidRDefault="00000000" w:rsidP="005B2285">
      <w:pPr>
        <w:spacing w:line="360" w:lineRule="auto"/>
        <w:jc w:val="both"/>
        <w:rPr>
          <w:rFonts w:ascii="Arial" w:eastAsia="Arial" w:hAnsi="Arial" w:cs="Arial"/>
          <w:i/>
          <w:color w:val="000000" w:themeColor="text1"/>
        </w:rPr>
      </w:pPr>
      <w:r w:rsidRPr="00242DFB">
        <w:rPr>
          <w:rFonts w:ascii="Arial" w:eastAsia="Arial" w:hAnsi="Arial" w:cs="Arial"/>
          <w:i/>
          <w:color w:val="000000"/>
        </w:rPr>
        <w:t xml:space="preserve"> </w:t>
      </w:r>
    </w:p>
    <w:p w14:paraId="57AE85FC" w14:textId="77777777" w:rsidR="009F762E" w:rsidRPr="00242DFB" w:rsidRDefault="00000000" w:rsidP="005B2285">
      <w:pPr>
        <w:pStyle w:val="Prrafodelista"/>
        <w:numPr>
          <w:ilvl w:val="0"/>
          <w:numId w:val="6"/>
        </w:numPr>
        <w:spacing w:line="360" w:lineRule="auto"/>
        <w:jc w:val="both"/>
        <w:rPr>
          <w:rFonts w:ascii="Arial" w:eastAsia="Arial" w:hAnsi="Arial" w:cs="Arial"/>
          <w:b/>
          <w:i/>
          <w:color w:val="000000" w:themeColor="text1"/>
        </w:rPr>
      </w:pPr>
      <w:r w:rsidRPr="00242DFB">
        <w:rPr>
          <w:rFonts w:ascii="Arial" w:eastAsia="Arial" w:hAnsi="Arial" w:cs="Arial"/>
          <w:i/>
          <w:color w:val="000000"/>
        </w:rPr>
        <w:lastRenderedPageBreak/>
        <w:t xml:space="preserve">Reclamos de riesgo vital: Estos reclamos en salud deberán ser resueltos de manera inmediata y en todo caso no podrán superar el término máximo de veinticuatro </w:t>
      </w:r>
      <w:r w:rsidRPr="00242DFB">
        <w:rPr>
          <w:rFonts w:ascii="Arial" w:eastAsia="Arial" w:hAnsi="Arial" w:cs="Arial"/>
          <w:b/>
          <w:i/>
          <w:color w:val="000000"/>
        </w:rPr>
        <w:t xml:space="preserve">(24) horas. </w:t>
      </w:r>
    </w:p>
    <w:p w14:paraId="5D56F368" w14:textId="77777777" w:rsidR="009F762E" w:rsidRPr="00242DFB" w:rsidRDefault="00000000" w:rsidP="005B2285">
      <w:pPr>
        <w:pStyle w:val="Prrafodelista"/>
        <w:numPr>
          <w:ilvl w:val="0"/>
          <w:numId w:val="6"/>
        </w:numPr>
        <w:spacing w:line="360" w:lineRule="auto"/>
        <w:jc w:val="both"/>
        <w:rPr>
          <w:rFonts w:ascii="Arial" w:eastAsia="Arial" w:hAnsi="Arial" w:cs="Arial"/>
          <w:i/>
          <w:color w:val="000000" w:themeColor="text1"/>
        </w:rPr>
      </w:pPr>
      <w:r w:rsidRPr="00242DFB">
        <w:rPr>
          <w:rFonts w:ascii="Arial" w:eastAsia="Arial" w:hAnsi="Arial" w:cs="Arial"/>
          <w:i/>
          <w:color w:val="000000"/>
        </w:rPr>
        <w:t xml:space="preserve">Reclamos de riesgo priorizado: Estos reclamos en salud deberán ser resueltos y, en todo caso no podrán superar el término máximo de cuarenta y ocho </w:t>
      </w:r>
      <w:r w:rsidRPr="00242DFB">
        <w:rPr>
          <w:rFonts w:ascii="Arial" w:eastAsia="Arial" w:hAnsi="Arial" w:cs="Arial"/>
          <w:b/>
          <w:i/>
          <w:color w:val="000000"/>
        </w:rPr>
        <w:t>(48) horas</w:t>
      </w:r>
      <w:r w:rsidRPr="00242DFB">
        <w:rPr>
          <w:rFonts w:ascii="Arial" w:eastAsia="Arial" w:hAnsi="Arial" w:cs="Arial"/>
          <w:i/>
          <w:color w:val="000000"/>
        </w:rPr>
        <w:t>.</w:t>
      </w:r>
    </w:p>
    <w:p w14:paraId="6BC4B4F8" w14:textId="77777777" w:rsidR="009F762E" w:rsidRPr="00242DFB" w:rsidRDefault="00000000" w:rsidP="005B2285">
      <w:pPr>
        <w:pStyle w:val="Prrafodelista"/>
        <w:numPr>
          <w:ilvl w:val="0"/>
          <w:numId w:val="6"/>
        </w:numPr>
        <w:spacing w:line="360" w:lineRule="auto"/>
        <w:jc w:val="both"/>
        <w:rPr>
          <w:rFonts w:ascii="Arial" w:eastAsia="Arial" w:hAnsi="Arial" w:cs="Arial"/>
          <w:i/>
          <w:color w:val="000000" w:themeColor="text1"/>
        </w:rPr>
      </w:pPr>
      <w:r w:rsidRPr="00242DFB">
        <w:rPr>
          <w:rFonts w:ascii="Arial" w:eastAsia="Arial" w:hAnsi="Arial" w:cs="Arial"/>
          <w:i/>
          <w:color w:val="000000"/>
        </w:rPr>
        <w:t>Reclamos de riesgo simple: Los reclamos de riesgo simple en salud presentados directamente por los usuarios o a través de un tercero ante la entidad responsable o ante esta Superintendencia y trasladados al vigilado, se deben resolver de fondo en un término máximo de setenta y dos (72) horas a partir de la fecha de radicación.</w:t>
      </w:r>
    </w:p>
    <w:p w14:paraId="745F8647" w14:textId="77777777" w:rsidR="009F762E" w:rsidRPr="00242DFB" w:rsidRDefault="00000000" w:rsidP="005B2285">
      <w:pPr>
        <w:pStyle w:val="Prrafodelista"/>
        <w:numPr>
          <w:ilvl w:val="0"/>
          <w:numId w:val="6"/>
        </w:numPr>
        <w:spacing w:line="360" w:lineRule="auto"/>
        <w:jc w:val="both"/>
        <w:rPr>
          <w:rFonts w:ascii="Arial" w:eastAsia="Arial" w:hAnsi="Arial" w:cs="Arial"/>
          <w:color w:val="000000" w:themeColor="text1"/>
        </w:rPr>
      </w:pPr>
      <w:r w:rsidRPr="00242DFB">
        <w:rPr>
          <w:rFonts w:ascii="Arial" w:eastAsia="Arial" w:hAnsi="Arial" w:cs="Arial"/>
          <w:i/>
          <w:color w:val="000000"/>
        </w:rPr>
        <w:t>Peticiones generales: Aquellas que contienen solicitudes de información y/o no están relacionadas con la garantía del acceso a los servicios de salud, ni con la atención o prestación de servicios de salud, por tanto, serán respondidas de acuerdo a los términos definidos en el artículo 14 de la Ley 1755 de 2015</w:t>
      </w:r>
    </w:p>
    <w:p w14:paraId="0FAF391F" w14:textId="77777777" w:rsidR="009F762E" w:rsidRPr="00242DFB" w:rsidRDefault="00000000" w:rsidP="005B2285">
      <w:pPr>
        <w:spacing w:line="360" w:lineRule="auto"/>
        <w:ind w:left="360"/>
        <w:jc w:val="both"/>
        <w:rPr>
          <w:rFonts w:ascii="Arial" w:eastAsia="Arial" w:hAnsi="Arial" w:cs="Arial"/>
          <w:i/>
          <w:color w:val="000000" w:themeColor="text1"/>
        </w:rPr>
      </w:pPr>
      <w:r w:rsidRPr="00242DFB">
        <w:rPr>
          <w:rFonts w:ascii="Arial" w:eastAsia="Arial" w:hAnsi="Arial" w:cs="Arial"/>
          <w:i/>
          <w:color w:val="000000"/>
        </w:rPr>
        <w:t xml:space="preserve"> </w:t>
      </w:r>
    </w:p>
    <w:p w14:paraId="502F2052"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hAnsi="Arial" w:cs="Arial"/>
          <w:color w:val="000000"/>
        </w:rPr>
        <w:t>En el marco del seguimiento a las metas del Plan Distrital de Desarrollo Bogotá Camina Segura 2024–2027, particularmente la orientada a mejorar la experiencia del usuario en el proceso de atención en salud, se analizó el comportamiento de las Peticiones, Quejas, Reclamos y Sugerencias (PQRS), gestionadas por Capital Salud EPS-S durante la vigencia 2025.</w:t>
      </w:r>
    </w:p>
    <w:p w14:paraId="3AF7BD43"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4D247427"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Este análisis permitió evaluar el desempeño institucional frente a la oportunidad de respuesta, la identificación de barreras de acceso para la prestación de los servicios de salud y su impacto directo sobre la experiencia del usuario.</w:t>
      </w:r>
    </w:p>
    <w:p w14:paraId="0A88DA95"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3F363483" w14:textId="77777777" w:rsidR="009F762E" w:rsidRPr="00242DFB" w:rsidRDefault="00000000" w:rsidP="005B2285">
      <w:pPr>
        <w:pStyle w:val="Prrafodelista"/>
        <w:numPr>
          <w:ilvl w:val="0"/>
          <w:numId w:val="5"/>
        </w:numPr>
        <w:spacing w:line="360" w:lineRule="auto"/>
        <w:jc w:val="both"/>
        <w:rPr>
          <w:rFonts w:ascii="Arial" w:eastAsia="Arial" w:hAnsi="Arial" w:cs="Arial"/>
          <w:color w:val="000000" w:themeColor="text1"/>
        </w:rPr>
      </w:pPr>
      <w:r w:rsidRPr="00242DFB">
        <w:rPr>
          <w:rFonts w:ascii="Arial" w:eastAsia="Arial" w:hAnsi="Arial" w:cs="Arial"/>
          <w:color w:val="000000"/>
        </w:rPr>
        <w:t xml:space="preserve">Población afiliada (diciembre 31 de 2025): 881.958 usuarios </w:t>
      </w:r>
    </w:p>
    <w:p w14:paraId="1D8949C7" w14:textId="77777777" w:rsidR="009F762E" w:rsidRPr="00242DFB" w:rsidRDefault="00000000" w:rsidP="005B2285">
      <w:pPr>
        <w:pStyle w:val="Prrafodelista"/>
        <w:numPr>
          <w:ilvl w:val="0"/>
          <w:numId w:val="5"/>
        </w:numPr>
        <w:spacing w:line="360" w:lineRule="auto"/>
        <w:jc w:val="both"/>
        <w:rPr>
          <w:rFonts w:ascii="Arial" w:eastAsia="Arial" w:hAnsi="Arial" w:cs="Arial"/>
          <w:color w:val="000000" w:themeColor="text1"/>
        </w:rPr>
      </w:pPr>
      <w:r w:rsidRPr="00242DFB">
        <w:rPr>
          <w:rFonts w:ascii="Arial" w:eastAsia="Arial" w:hAnsi="Arial" w:cs="Arial"/>
          <w:color w:val="000000"/>
        </w:rPr>
        <w:t>Total, PQRS registradas: 80.568</w:t>
      </w:r>
    </w:p>
    <w:p w14:paraId="36E01602" w14:textId="77777777" w:rsidR="009F762E" w:rsidRPr="00242DFB" w:rsidRDefault="00000000" w:rsidP="005B2285">
      <w:pPr>
        <w:pStyle w:val="Prrafodelista"/>
        <w:numPr>
          <w:ilvl w:val="0"/>
          <w:numId w:val="5"/>
        </w:numPr>
        <w:spacing w:line="360" w:lineRule="auto"/>
        <w:jc w:val="both"/>
        <w:rPr>
          <w:rFonts w:ascii="Arial" w:eastAsia="Arial" w:hAnsi="Arial" w:cs="Arial"/>
          <w:color w:val="000000" w:themeColor="text1"/>
        </w:rPr>
      </w:pPr>
      <w:r w:rsidRPr="00242DFB">
        <w:rPr>
          <w:rFonts w:ascii="Arial" w:eastAsia="Arial" w:hAnsi="Arial" w:cs="Arial"/>
          <w:color w:val="000000"/>
        </w:rPr>
        <w:t>Tasa de PQRS: 913 por cada 10.000 afiliados</w:t>
      </w:r>
    </w:p>
    <w:p w14:paraId="4DB925D7"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(Número de PQRS recibidas / Total de afiliados activos) × 10.000 afiliados.</w:t>
      </w:r>
    </w:p>
    <w:p w14:paraId="52ED7E26" w14:textId="77777777" w:rsidR="009F762E" w:rsidRPr="00242DFB" w:rsidRDefault="009F762E" w:rsidP="005B2285">
      <w:pPr>
        <w:spacing w:line="360" w:lineRule="auto"/>
        <w:jc w:val="both"/>
        <w:rPr>
          <w:rFonts w:ascii="Arial" w:eastAsia="Arial" w:hAnsi="Arial" w:cs="Arial"/>
          <w:color w:val="000000" w:themeColor="text1"/>
          <w:lang w:eastAsia="es-CO"/>
        </w:rPr>
      </w:pPr>
    </w:p>
    <w:p w14:paraId="7C0D57DC" w14:textId="71E04F8F" w:rsidR="009F762E" w:rsidRPr="00242DFB" w:rsidRDefault="004C0C7B" w:rsidP="005B2285">
      <w:pPr>
        <w:pStyle w:val="Ttulo2"/>
        <w:numPr>
          <w:ilvl w:val="1"/>
          <w:numId w:val="7"/>
        </w:numPr>
        <w:spacing w:before="0" w:line="360" w:lineRule="auto"/>
        <w:jc w:val="both"/>
        <w:rPr>
          <w:rFonts w:ascii="Arial" w:eastAsia="Arial" w:hAnsi="Arial" w:cs="Arial"/>
          <w:b/>
          <w:color w:val="000000" w:themeColor="text1"/>
          <w:sz w:val="24"/>
          <w:szCs w:val="24"/>
        </w:rPr>
      </w:pPr>
      <w:bookmarkStart w:id="41" w:name="__RefHeading___Toc8584_542869190"/>
      <w:bookmarkStart w:id="42" w:name="_Toc230853767"/>
      <w:bookmarkEnd w:id="41"/>
      <w:r w:rsidRPr="00242DFB">
        <w:rPr>
          <w:rFonts w:ascii="Arial" w:eastAsia="Arial" w:hAnsi="Arial" w:cs="Arial"/>
          <w:b/>
          <w:color w:val="000000"/>
          <w:sz w:val="24"/>
          <w:szCs w:val="24"/>
        </w:rPr>
        <w:t xml:space="preserve"> </w:t>
      </w:r>
      <w:bookmarkStart w:id="43" w:name="_Toc233574829"/>
      <w:r w:rsidR="00000000" w:rsidRPr="00242DFB">
        <w:rPr>
          <w:rFonts w:ascii="Arial" w:eastAsia="Arial" w:hAnsi="Arial" w:cs="Arial"/>
          <w:b/>
          <w:color w:val="000000"/>
          <w:sz w:val="24"/>
          <w:szCs w:val="24"/>
        </w:rPr>
        <w:t>Oportunidad en la respuesta a las PQRSD (Indicadores)</w:t>
      </w:r>
      <w:bookmarkEnd w:id="42"/>
      <w:bookmarkEnd w:id="43"/>
    </w:p>
    <w:p w14:paraId="26F08DE2" w14:textId="77777777" w:rsidR="009F762E" w:rsidRPr="00242DFB" w:rsidRDefault="009F762E" w:rsidP="005B2285">
      <w:pPr>
        <w:spacing w:line="360" w:lineRule="auto"/>
        <w:rPr>
          <w:rFonts w:ascii="Arial" w:hAnsi="Arial" w:cs="Arial"/>
          <w:color w:val="000000" w:themeColor="text1"/>
        </w:rPr>
      </w:pPr>
    </w:p>
    <w:p w14:paraId="757FCD6C" w14:textId="77777777" w:rsidR="009F762E" w:rsidRPr="00242DFB"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t>Con el propósito de evaluar la oportunidad en la respuesta a las Peticiones, Quejas, Reclamos, Sugerencias y Denuncias (PQRS), se presenta a continuación el porcentaje de incumplimiento en los tiempos de respuesta, discriminado por tipo de manifestación. El análisis se realiza con base en los plazos establecidos en la Ley 1755 de 2015 y en la Circular Externa 2023151000000010-5 de la Superintendencia Nacional de Salud, que define tiempos diferenciales de respuesta de acuerdo con la clasificación del riesgo de cada manifestación.</w:t>
      </w:r>
    </w:p>
    <w:p w14:paraId="5DEEE2EF" w14:textId="77777777" w:rsidR="000928F8" w:rsidRPr="00242DFB" w:rsidRDefault="000928F8" w:rsidP="005B2285">
      <w:pPr>
        <w:spacing w:line="360" w:lineRule="auto"/>
        <w:jc w:val="both"/>
        <w:rPr>
          <w:rFonts w:ascii="Arial" w:eastAsia="Arial" w:hAnsi="Arial" w:cs="Arial"/>
          <w:color w:val="000000" w:themeColor="text1"/>
        </w:rPr>
      </w:pPr>
    </w:p>
    <w:p w14:paraId="42F89C86"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La información analizada permite identificar el grado de cumplimiento normativo por parte de la EPS y dimensionar el impacto de los retrasos en la atención de las PQRS, especialmente en aquellos reclamos clasificados como riesgo vital, riesgo priorizado y riesgo simple, determinante para la protección del derecho fundamental a la salud y para la adecuada prestación del servicio público de salud.</w:t>
      </w:r>
    </w:p>
    <w:p w14:paraId="569996EC" w14:textId="77777777" w:rsidR="009F762E" w:rsidRPr="00242DFB" w:rsidRDefault="009F762E" w:rsidP="005B2285">
      <w:pPr>
        <w:spacing w:line="360" w:lineRule="auto"/>
        <w:jc w:val="both"/>
        <w:rPr>
          <w:rFonts w:ascii="Arial" w:eastAsia="Arial" w:hAnsi="Arial" w:cs="Arial"/>
          <w:color w:val="000000" w:themeColor="text1"/>
        </w:rPr>
      </w:pPr>
    </w:p>
    <w:p w14:paraId="090286D0" w14:textId="426E16A1" w:rsidR="000928F8" w:rsidRPr="00242DFB" w:rsidRDefault="000928F8" w:rsidP="005B2285">
      <w:pPr>
        <w:pStyle w:val="Descripcin"/>
        <w:keepNext/>
        <w:spacing w:after="0"/>
        <w:jc w:val="center"/>
        <w:rPr>
          <w:rFonts w:ascii="Arial" w:hAnsi="Arial" w:cs="Arial"/>
          <w:color w:val="000000" w:themeColor="text1"/>
          <w:sz w:val="24"/>
          <w:szCs w:val="24"/>
        </w:rPr>
      </w:pPr>
      <w:bookmarkStart w:id="44" w:name="_Toc233574868"/>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8</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Porcentaje de incumplimiento en la respuesta por tipo de PQRS, 2025</w:t>
      </w:r>
      <w:bookmarkEnd w:id="44"/>
    </w:p>
    <w:tbl>
      <w:tblPr>
        <w:tblStyle w:val="Tablaconcuadrcula"/>
        <w:tblW w:w="9695" w:type="dxa"/>
        <w:jc w:val="center"/>
        <w:tblLayout w:type="fixed"/>
        <w:tblLook w:val="04A0" w:firstRow="1" w:lastRow="0" w:firstColumn="1" w:lastColumn="0" w:noHBand="0" w:noVBand="1"/>
      </w:tblPr>
      <w:tblGrid>
        <w:gridCol w:w="2837"/>
        <w:gridCol w:w="1876"/>
        <w:gridCol w:w="2417"/>
        <w:gridCol w:w="2565"/>
      </w:tblGrid>
      <w:tr w:rsidR="009F762E" w:rsidRPr="00242DFB" w14:paraId="1D94335C" w14:textId="77777777" w:rsidTr="00555534">
        <w:trPr>
          <w:cantSplit/>
          <w:trHeight w:val="371"/>
          <w:tblHeader/>
          <w:jc w:val="center"/>
        </w:trPr>
        <w:tc>
          <w:tcPr>
            <w:tcW w:w="2837" w:type="dxa"/>
            <w:vAlign w:val="center"/>
          </w:tcPr>
          <w:p w14:paraId="708A358C"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Indicador</w:t>
            </w:r>
          </w:p>
        </w:tc>
        <w:tc>
          <w:tcPr>
            <w:tcW w:w="1876" w:type="dxa"/>
            <w:vAlign w:val="center"/>
          </w:tcPr>
          <w:p w14:paraId="01351E78"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Periodo</w:t>
            </w:r>
          </w:p>
        </w:tc>
        <w:tc>
          <w:tcPr>
            <w:tcW w:w="2417" w:type="dxa"/>
            <w:vAlign w:val="center"/>
          </w:tcPr>
          <w:p w14:paraId="6DDE9691"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Definición Operacional</w:t>
            </w:r>
          </w:p>
        </w:tc>
        <w:tc>
          <w:tcPr>
            <w:tcW w:w="2565" w:type="dxa"/>
            <w:vAlign w:val="center"/>
          </w:tcPr>
          <w:p w14:paraId="0F4322A1"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Porcentaje Incumplimiento</w:t>
            </w:r>
          </w:p>
        </w:tc>
      </w:tr>
      <w:tr w:rsidR="009F762E" w:rsidRPr="00242DFB" w14:paraId="62F0B7EF" w14:textId="77777777" w:rsidTr="00555534">
        <w:trPr>
          <w:cantSplit/>
          <w:trHeight w:val="278"/>
          <w:jc w:val="center"/>
        </w:trPr>
        <w:tc>
          <w:tcPr>
            <w:tcW w:w="2837" w:type="dxa"/>
            <w:vMerge w:val="restart"/>
            <w:vAlign w:val="center"/>
          </w:tcPr>
          <w:p w14:paraId="59832517"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Total, PQRS determinadas como Riesgo Vital * 100</w:t>
            </w:r>
          </w:p>
        </w:tc>
        <w:tc>
          <w:tcPr>
            <w:tcW w:w="1876" w:type="dxa"/>
            <w:vAlign w:val="center"/>
          </w:tcPr>
          <w:p w14:paraId="1732C6F0"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 Sem. 2025</w:t>
            </w:r>
          </w:p>
        </w:tc>
        <w:tc>
          <w:tcPr>
            <w:tcW w:w="2417" w:type="dxa"/>
            <w:vAlign w:val="center"/>
          </w:tcPr>
          <w:p w14:paraId="1206A807"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24 / 35 *100</w:t>
            </w:r>
          </w:p>
        </w:tc>
        <w:tc>
          <w:tcPr>
            <w:tcW w:w="2565" w:type="dxa"/>
            <w:vAlign w:val="center"/>
          </w:tcPr>
          <w:p w14:paraId="2468C8EB"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68,57%</w:t>
            </w:r>
          </w:p>
        </w:tc>
      </w:tr>
      <w:tr w:rsidR="009F762E" w:rsidRPr="00242DFB" w14:paraId="0824A297" w14:textId="77777777" w:rsidTr="00555534">
        <w:trPr>
          <w:cantSplit/>
          <w:trHeight w:val="278"/>
          <w:jc w:val="center"/>
        </w:trPr>
        <w:tc>
          <w:tcPr>
            <w:tcW w:w="2837" w:type="dxa"/>
            <w:vMerge/>
            <w:vAlign w:val="center"/>
          </w:tcPr>
          <w:p w14:paraId="47CD407D" w14:textId="77777777" w:rsidR="009F762E" w:rsidRPr="00242DFB" w:rsidRDefault="009F762E" w:rsidP="005B2285">
            <w:pPr>
              <w:spacing w:line="360" w:lineRule="auto"/>
              <w:rPr>
                <w:rFonts w:ascii="Arial" w:hAnsi="Arial" w:cs="Arial"/>
                <w:color w:val="000000" w:themeColor="text1"/>
              </w:rPr>
            </w:pPr>
          </w:p>
        </w:tc>
        <w:tc>
          <w:tcPr>
            <w:tcW w:w="1876" w:type="dxa"/>
            <w:vAlign w:val="center"/>
          </w:tcPr>
          <w:p w14:paraId="282FCE22"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II Sem. 2025</w:t>
            </w:r>
          </w:p>
        </w:tc>
        <w:tc>
          <w:tcPr>
            <w:tcW w:w="2417" w:type="dxa"/>
            <w:vAlign w:val="center"/>
          </w:tcPr>
          <w:p w14:paraId="4D03B635"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47 / 52 *100</w:t>
            </w:r>
          </w:p>
        </w:tc>
        <w:tc>
          <w:tcPr>
            <w:tcW w:w="2565" w:type="dxa"/>
            <w:vAlign w:val="center"/>
          </w:tcPr>
          <w:p w14:paraId="2271F083"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90,38%</w:t>
            </w:r>
          </w:p>
        </w:tc>
      </w:tr>
      <w:tr w:rsidR="009F762E" w:rsidRPr="00242DFB" w14:paraId="6A8DA90A" w14:textId="77777777" w:rsidTr="00555534">
        <w:trPr>
          <w:cantSplit/>
          <w:trHeight w:val="278"/>
          <w:jc w:val="center"/>
        </w:trPr>
        <w:tc>
          <w:tcPr>
            <w:tcW w:w="2837" w:type="dxa"/>
            <w:vAlign w:val="center"/>
          </w:tcPr>
          <w:p w14:paraId="007E3BE6"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TOTAL</w:t>
            </w:r>
          </w:p>
        </w:tc>
        <w:tc>
          <w:tcPr>
            <w:tcW w:w="1876" w:type="dxa"/>
            <w:vAlign w:val="center"/>
          </w:tcPr>
          <w:p w14:paraId="05CC8D26"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 xml:space="preserve"> </w:t>
            </w:r>
          </w:p>
        </w:tc>
        <w:tc>
          <w:tcPr>
            <w:tcW w:w="2417" w:type="dxa"/>
            <w:vAlign w:val="center"/>
          </w:tcPr>
          <w:p w14:paraId="134F8CD4"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 xml:space="preserve">71 / 87 *100 </w:t>
            </w:r>
          </w:p>
        </w:tc>
        <w:tc>
          <w:tcPr>
            <w:tcW w:w="2565" w:type="dxa"/>
            <w:vAlign w:val="center"/>
          </w:tcPr>
          <w:p w14:paraId="6DDA4B75"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81,60%</w:t>
            </w:r>
          </w:p>
        </w:tc>
      </w:tr>
      <w:tr w:rsidR="009F762E" w:rsidRPr="00242DFB" w14:paraId="1E1B5B53" w14:textId="77777777" w:rsidTr="00555534">
        <w:trPr>
          <w:cantSplit/>
          <w:trHeight w:val="278"/>
          <w:jc w:val="center"/>
        </w:trPr>
        <w:tc>
          <w:tcPr>
            <w:tcW w:w="2837" w:type="dxa"/>
            <w:vMerge w:val="restart"/>
            <w:vAlign w:val="center"/>
          </w:tcPr>
          <w:p w14:paraId="579AD972"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Total, PQRS determinadas como de Riesgo Priorizado * 100</w:t>
            </w:r>
          </w:p>
        </w:tc>
        <w:tc>
          <w:tcPr>
            <w:tcW w:w="1876" w:type="dxa"/>
            <w:vAlign w:val="center"/>
          </w:tcPr>
          <w:p w14:paraId="6A94CB12"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 Sem. 2025</w:t>
            </w:r>
          </w:p>
        </w:tc>
        <w:tc>
          <w:tcPr>
            <w:tcW w:w="2417" w:type="dxa"/>
            <w:vAlign w:val="center"/>
          </w:tcPr>
          <w:p w14:paraId="693F5784"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8.619 / 8.879 *100</w:t>
            </w:r>
          </w:p>
        </w:tc>
        <w:tc>
          <w:tcPr>
            <w:tcW w:w="2565" w:type="dxa"/>
            <w:vAlign w:val="center"/>
          </w:tcPr>
          <w:p w14:paraId="3E0D44F6"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97,07%</w:t>
            </w:r>
          </w:p>
        </w:tc>
      </w:tr>
      <w:tr w:rsidR="009F762E" w:rsidRPr="00242DFB" w14:paraId="3DCFB8FB" w14:textId="77777777" w:rsidTr="00555534">
        <w:trPr>
          <w:cantSplit/>
          <w:trHeight w:val="278"/>
          <w:jc w:val="center"/>
        </w:trPr>
        <w:tc>
          <w:tcPr>
            <w:tcW w:w="2837" w:type="dxa"/>
            <w:vMerge/>
            <w:vAlign w:val="center"/>
          </w:tcPr>
          <w:p w14:paraId="1A8B3D58" w14:textId="77777777" w:rsidR="009F762E" w:rsidRPr="00242DFB" w:rsidRDefault="009F762E" w:rsidP="005B2285">
            <w:pPr>
              <w:spacing w:line="360" w:lineRule="auto"/>
              <w:rPr>
                <w:rFonts w:ascii="Arial" w:hAnsi="Arial" w:cs="Arial"/>
                <w:color w:val="000000" w:themeColor="text1"/>
              </w:rPr>
            </w:pPr>
          </w:p>
        </w:tc>
        <w:tc>
          <w:tcPr>
            <w:tcW w:w="1876" w:type="dxa"/>
            <w:vAlign w:val="center"/>
          </w:tcPr>
          <w:p w14:paraId="6ABD29AA"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II Sem. 2025</w:t>
            </w:r>
          </w:p>
        </w:tc>
        <w:tc>
          <w:tcPr>
            <w:tcW w:w="2417" w:type="dxa"/>
            <w:vAlign w:val="center"/>
          </w:tcPr>
          <w:p w14:paraId="75F450A5"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6.296 / 6.371 *100</w:t>
            </w:r>
          </w:p>
        </w:tc>
        <w:tc>
          <w:tcPr>
            <w:tcW w:w="2565" w:type="dxa"/>
            <w:vAlign w:val="center"/>
          </w:tcPr>
          <w:p w14:paraId="38C6CDBE"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98,82%</w:t>
            </w:r>
          </w:p>
        </w:tc>
      </w:tr>
      <w:tr w:rsidR="009F762E" w:rsidRPr="00242DFB" w14:paraId="18FE202F" w14:textId="77777777" w:rsidTr="00555534">
        <w:trPr>
          <w:cantSplit/>
          <w:trHeight w:val="278"/>
          <w:jc w:val="center"/>
        </w:trPr>
        <w:tc>
          <w:tcPr>
            <w:tcW w:w="2837" w:type="dxa"/>
            <w:vAlign w:val="center"/>
          </w:tcPr>
          <w:p w14:paraId="64F84F8C"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TOTAL</w:t>
            </w:r>
          </w:p>
        </w:tc>
        <w:tc>
          <w:tcPr>
            <w:tcW w:w="1876" w:type="dxa"/>
            <w:vAlign w:val="center"/>
          </w:tcPr>
          <w:p w14:paraId="251089F3"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 xml:space="preserve"> </w:t>
            </w:r>
          </w:p>
        </w:tc>
        <w:tc>
          <w:tcPr>
            <w:tcW w:w="2417" w:type="dxa"/>
            <w:vAlign w:val="center"/>
          </w:tcPr>
          <w:p w14:paraId="0688EBD3"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14.915 / 15.250 *100</w:t>
            </w:r>
          </w:p>
        </w:tc>
        <w:tc>
          <w:tcPr>
            <w:tcW w:w="2565" w:type="dxa"/>
            <w:vAlign w:val="center"/>
          </w:tcPr>
          <w:p w14:paraId="4DCBA823"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97,80%</w:t>
            </w:r>
          </w:p>
        </w:tc>
      </w:tr>
      <w:tr w:rsidR="009F762E" w:rsidRPr="00242DFB" w14:paraId="650FF1CD" w14:textId="77777777" w:rsidTr="00555534">
        <w:trPr>
          <w:cantSplit/>
          <w:trHeight w:val="278"/>
          <w:jc w:val="center"/>
        </w:trPr>
        <w:tc>
          <w:tcPr>
            <w:tcW w:w="2837" w:type="dxa"/>
            <w:vMerge w:val="restart"/>
            <w:vAlign w:val="center"/>
          </w:tcPr>
          <w:p w14:paraId="682559E7"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Total, PQRS determinadas como de Riesgo Simple * 100</w:t>
            </w:r>
          </w:p>
        </w:tc>
        <w:tc>
          <w:tcPr>
            <w:tcW w:w="1876" w:type="dxa"/>
            <w:vAlign w:val="center"/>
          </w:tcPr>
          <w:p w14:paraId="7BF6E0E9"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 Sem. 2025</w:t>
            </w:r>
          </w:p>
        </w:tc>
        <w:tc>
          <w:tcPr>
            <w:tcW w:w="2417" w:type="dxa"/>
            <w:vAlign w:val="center"/>
          </w:tcPr>
          <w:p w14:paraId="491F3D5C"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18.047 / 19.898 *100</w:t>
            </w:r>
          </w:p>
        </w:tc>
        <w:tc>
          <w:tcPr>
            <w:tcW w:w="2565" w:type="dxa"/>
            <w:vAlign w:val="center"/>
          </w:tcPr>
          <w:p w14:paraId="4E81CFDB"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90,69%</w:t>
            </w:r>
          </w:p>
        </w:tc>
      </w:tr>
      <w:tr w:rsidR="009F762E" w:rsidRPr="00242DFB" w14:paraId="63297233" w14:textId="77777777" w:rsidTr="00555534">
        <w:trPr>
          <w:cantSplit/>
          <w:trHeight w:val="278"/>
          <w:jc w:val="center"/>
        </w:trPr>
        <w:tc>
          <w:tcPr>
            <w:tcW w:w="2837" w:type="dxa"/>
            <w:vMerge/>
            <w:vAlign w:val="center"/>
          </w:tcPr>
          <w:p w14:paraId="2FBC3F3C" w14:textId="77777777" w:rsidR="009F762E" w:rsidRPr="00242DFB" w:rsidRDefault="009F762E" w:rsidP="005B2285">
            <w:pPr>
              <w:spacing w:line="360" w:lineRule="auto"/>
              <w:rPr>
                <w:rFonts w:ascii="Arial" w:hAnsi="Arial" w:cs="Arial"/>
                <w:color w:val="000000" w:themeColor="text1"/>
              </w:rPr>
            </w:pPr>
          </w:p>
        </w:tc>
        <w:tc>
          <w:tcPr>
            <w:tcW w:w="1876" w:type="dxa"/>
            <w:vAlign w:val="center"/>
          </w:tcPr>
          <w:p w14:paraId="63D29AA4"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II Sem. 2025</w:t>
            </w:r>
          </w:p>
        </w:tc>
        <w:tc>
          <w:tcPr>
            <w:tcW w:w="2417" w:type="dxa"/>
            <w:vAlign w:val="center"/>
          </w:tcPr>
          <w:p w14:paraId="2183681C"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19.866 / 20.994 *100</w:t>
            </w:r>
          </w:p>
        </w:tc>
        <w:tc>
          <w:tcPr>
            <w:tcW w:w="2565" w:type="dxa"/>
            <w:vAlign w:val="center"/>
          </w:tcPr>
          <w:p w14:paraId="493DCE8A"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94,62%</w:t>
            </w:r>
          </w:p>
        </w:tc>
      </w:tr>
      <w:tr w:rsidR="009F762E" w:rsidRPr="00242DFB" w14:paraId="7FC36142" w14:textId="77777777" w:rsidTr="00555534">
        <w:trPr>
          <w:cantSplit/>
          <w:trHeight w:val="278"/>
          <w:jc w:val="center"/>
        </w:trPr>
        <w:tc>
          <w:tcPr>
            <w:tcW w:w="2837" w:type="dxa"/>
            <w:vAlign w:val="center"/>
          </w:tcPr>
          <w:p w14:paraId="480F0836"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TOTAL</w:t>
            </w:r>
          </w:p>
        </w:tc>
        <w:tc>
          <w:tcPr>
            <w:tcW w:w="1876" w:type="dxa"/>
            <w:vAlign w:val="center"/>
          </w:tcPr>
          <w:p w14:paraId="03BAD8DC"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 xml:space="preserve"> </w:t>
            </w:r>
          </w:p>
        </w:tc>
        <w:tc>
          <w:tcPr>
            <w:tcW w:w="2417" w:type="dxa"/>
            <w:vAlign w:val="center"/>
          </w:tcPr>
          <w:p w14:paraId="321E3036"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37.913 / 40.892 *100</w:t>
            </w:r>
          </w:p>
        </w:tc>
        <w:tc>
          <w:tcPr>
            <w:tcW w:w="2565" w:type="dxa"/>
            <w:vAlign w:val="center"/>
          </w:tcPr>
          <w:p w14:paraId="4B2C5B9D"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92,71%</w:t>
            </w:r>
          </w:p>
        </w:tc>
      </w:tr>
      <w:tr w:rsidR="009F762E" w:rsidRPr="00242DFB" w14:paraId="731A60D3" w14:textId="77777777" w:rsidTr="00555534">
        <w:trPr>
          <w:cantSplit/>
          <w:trHeight w:val="278"/>
          <w:jc w:val="center"/>
        </w:trPr>
        <w:tc>
          <w:tcPr>
            <w:tcW w:w="2837" w:type="dxa"/>
            <w:vMerge w:val="restart"/>
            <w:vAlign w:val="center"/>
          </w:tcPr>
          <w:p w14:paraId="05772F45"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Total, PQRS determinadas como Generales (15 días) * 100</w:t>
            </w:r>
          </w:p>
        </w:tc>
        <w:tc>
          <w:tcPr>
            <w:tcW w:w="1876" w:type="dxa"/>
            <w:vAlign w:val="center"/>
          </w:tcPr>
          <w:p w14:paraId="485D1B25"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 Sem. 2025</w:t>
            </w:r>
          </w:p>
        </w:tc>
        <w:tc>
          <w:tcPr>
            <w:tcW w:w="2417" w:type="dxa"/>
            <w:vAlign w:val="center"/>
          </w:tcPr>
          <w:p w14:paraId="36E7334F"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6.164 / 11.818 *100</w:t>
            </w:r>
          </w:p>
        </w:tc>
        <w:tc>
          <w:tcPr>
            <w:tcW w:w="2565" w:type="dxa"/>
            <w:vAlign w:val="center"/>
          </w:tcPr>
          <w:p w14:paraId="5EA82182"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52,15%</w:t>
            </w:r>
          </w:p>
        </w:tc>
      </w:tr>
      <w:tr w:rsidR="009F762E" w:rsidRPr="00242DFB" w14:paraId="138A3784" w14:textId="77777777" w:rsidTr="00555534">
        <w:trPr>
          <w:cantSplit/>
          <w:trHeight w:val="265"/>
          <w:jc w:val="center"/>
        </w:trPr>
        <w:tc>
          <w:tcPr>
            <w:tcW w:w="2837" w:type="dxa"/>
            <w:vMerge/>
            <w:vAlign w:val="center"/>
          </w:tcPr>
          <w:p w14:paraId="56016E5F" w14:textId="77777777" w:rsidR="009F762E" w:rsidRPr="00242DFB" w:rsidRDefault="009F762E" w:rsidP="005B2285">
            <w:pPr>
              <w:spacing w:line="360" w:lineRule="auto"/>
              <w:rPr>
                <w:rFonts w:ascii="Arial" w:hAnsi="Arial" w:cs="Arial"/>
                <w:color w:val="000000" w:themeColor="text1"/>
              </w:rPr>
            </w:pPr>
          </w:p>
        </w:tc>
        <w:tc>
          <w:tcPr>
            <w:tcW w:w="1876" w:type="dxa"/>
            <w:vAlign w:val="center"/>
          </w:tcPr>
          <w:p w14:paraId="0FF405C3"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II Sem. 2025</w:t>
            </w:r>
          </w:p>
        </w:tc>
        <w:tc>
          <w:tcPr>
            <w:tcW w:w="2417" w:type="dxa"/>
            <w:vAlign w:val="center"/>
          </w:tcPr>
          <w:p w14:paraId="1F8DB5C0"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6.521 / 12.521*100</w:t>
            </w:r>
          </w:p>
        </w:tc>
        <w:tc>
          <w:tcPr>
            <w:tcW w:w="2565" w:type="dxa"/>
            <w:vAlign w:val="center"/>
          </w:tcPr>
          <w:p w14:paraId="1A824B2A"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52,08%</w:t>
            </w:r>
          </w:p>
        </w:tc>
      </w:tr>
      <w:tr w:rsidR="009F762E" w:rsidRPr="00242DFB" w14:paraId="324D7AD1" w14:textId="77777777" w:rsidTr="00555534">
        <w:trPr>
          <w:cantSplit/>
          <w:trHeight w:val="278"/>
          <w:jc w:val="center"/>
        </w:trPr>
        <w:tc>
          <w:tcPr>
            <w:tcW w:w="2837" w:type="dxa"/>
            <w:vAlign w:val="center"/>
          </w:tcPr>
          <w:p w14:paraId="388091B4"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TOTAL</w:t>
            </w:r>
          </w:p>
        </w:tc>
        <w:tc>
          <w:tcPr>
            <w:tcW w:w="1876" w:type="dxa"/>
            <w:vAlign w:val="center"/>
          </w:tcPr>
          <w:p w14:paraId="37627C8F"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 xml:space="preserve"> </w:t>
            </w:r>
          </w:p>
        </w:tc>
        <w:tc>
          <w:tcPr>
            <w:tcW w:w="2417" w:type="dxa"/>
            <w:vAlign w:val="center"/>
          </w:tcPr>
          <w:p w14:paraId="58514F71"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12.685 / 24.339 *100</w:t>
            </w:r>
          </w:p>
        </w:tc>
        <w:tc>
          <w:tcPr>
            <w:tcW w:w="2565" w:type="dxa"/>
            <w:vAlign w:val="center"/>
          </w:tcPr>
          <w:p w14:paraId="4261858E" w14:textId="77777777" w:rsidR="009F762E" w:rsidRPr="00242DFB" w:rsidRDefault="00000000" w:rsidP="005B2285">
            <w:pPr>
              <w:spacing w:line="360" w:lineRule="auto"/>
              <w:jc w:val="center"/>
              <w:rPr>
                <w:rFonts w:ascii="Arial" w:eastAsia="Arial" w:hAnsi="Arial" w:cs="Arial"/>
                <w:b/>
                <w:bCs/>
                <w:color w:val="000000" w:themeColor="text1"/>
              </w:rPr>
            </w:pPr>
            <w:r w:rsidRPr="00242DFB">
              <w:rPr>
                <w:rFonts w:ascii="Arial" w:eastAsia="Arial" w:hAnsi="Arial" w:cs="Arial"/>
                <w:b/>
                <w:bCs/>
                <w:color w:val="000000" w:themeColor="text1"/>
                <w:kern w:val="2"/>
              </w:rPr>
              <w:t>52,11%</w:t>
            </w:r>
          </w:p>
        </w:tc>
      </w:tr>
    </w:tbl>
    <w:p w14:paraId="616D82C9" w14:textId="77777777" w:rsidR="009F762E" w:rsidRPr="00242DFB" w:rsidRDefault="00000000" w:rsidP="005B2285">
      <w:pPr>
        <w:spacing w:line="360" w:lineRule="auto"/>
        <w:rPr>
          <w:rFonts w:ascii="Arial" w:eastAsia="Arial" w:hAnsi="Arial" w:cs="Arial"/>
          <w:color w:val="000000" w:themeColor="text1"/>
          <w:sz w:val="16"/>
          <w:szCs w:val="16"/>
        </w:rPr>
      </w:pPr>
      <w:r w:rsidRPr="00242DFB">
        <w:rPr>
          <w:rFonts w:ascii="Arial" w:hAnsi="Arial" w:cs="Arial"/>
          <w:color w:val="000000"/>
          <w:sz w:val="16"/>
          <w:szCs w:val="16"/>
        </w:rPr>
        <w:t>Fuente: Acta de Auditoría IVS Capital Salud EPS-S II Sem. 2024 – I Sem. 2025- Subcomponente Gestión Efectiva de PQRS - II Sem 2025 Información reportada por la Entidad base de datos del aplicativo Ágil Salud de Capital Salud EPS-S</w:t>
      </w:r>
    </w:p>
    <w:p w14:paraId="304FB671" w14:textId="77777777" w:rsidR="009F762E" w:rsidRPr="00242DFB" w:rsidRDefault="009F762E" w:rsidP="005B2285">
      <w:pPr>
        <w:spacing w:line="360" w:lineRule="auto"/>
        <w:rPr>
          <w:rFonts w:ascii="Arial" w:eastAsia="Arial" w:hAnsi="Arial" w:cs="Arial"/>
          <w:color w:val="000000" w:themeColor="text1"/>
        </w:rPr>
      </w:pPr>
    </w:p>
    <w:p w14:paraId="44BDEE62" w14:textId="77777777" w:rsidR="0081376D" w:rsidRPr="00242DFB" w:rsidRDefault="0081376D" w:rsidP="005B2285">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El análisis de los resultados evidencia un nivel crítico de incumplimiento en los tiempos establecidos para la atención y respuesta de las manifestaciones ciudadanas, especialmente en aquellas clasificadas según nivel de riesgo. De las 80.568 PQRS analizadas, se observa que las categorías asociadas a riesgo vital, riesgo priorizado y riesgo simple concentran los mayores porcentajes de respuesta por fuera de los términos normativos, situación que reviste especial relevancia por tratarse de solicitudes que pueden comprometer la continuidad, accesibilidad, oportunidad y calidad de la atención en salud.</w:t>
      </w:r>
    </w:p>
    <w:p w14:paraId="4561C310" w14:textId="77777777" w:rsidR="00E8539F" w:rsidRPr="0081376D" w:rsidRDefault="00E8539F" w:rsidP="005B2285">
      <w:pPr>
        <w:spacing w:line="360" w:lineRule="auto"/>
        <w:jc w:val="both"/>
        <w:rPr>
          <w:rFonts w:ascii="Arial" w:eastAsia="Arial" w:hAnsi="Arial" w:cs="Arial"/>
          <w:color w:val="000000" w:themeColor="text1"/>
        </w:rPr>
      </w:pPr>
    </w:p>
    <w:p w14:paraId="456F085B" w14:textId="77777777" w:rsidR="0081376D" w:rsidRPr="00242DFB" w:rsidRDefault="0081376D" w:rsidP="005B2285">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 xml:space="preserve">Las PQRS clasificadas como Riesgo Vital registraron un incumplimiento acumulado del 81,60%, con un deterioro entre semestres al pasar de 68,57% en el primer semestre a 90,38% en el segundo semestre de 2025. Este comportamiento evidencia una disminución significativa en la capacidad de respuesta frente a manifestaciones asociadas a situaciones que pueden comprometer de manera inmediata la vida, la integridad o la continuidad de la atención de los usuarios. En consecuencia, la inoportunidad en la gestión de este tipo de requerimientos </w:t>
      </w:r>
      <w:r w:rsidRPr="0081376D">
        <w:rPr>
          <w:rFonts w:ascii="Arial" w:eastAsia="Arial" w:hAnsi="Arial" w:cs="Arial"/>
          <w:color w:val="000000" w:themeColor="text1"/>
        </w:rPr>
        <w:lastRenderedPageBreak/>
        <w:t>constituye un riesgo relevante para la garantía efectiva del acceso oportuno a los servicios de salud.</w:t>
      </w:r>
    </w:p>
    <w:p w14:paraId="58CDFECD" w14:textId="77777777" w:rsidR="00E8539F" w:rsidRPr="0081376D" w:rsidRDefault="00E8539F" w:rsidP="005B2285">
      <w:pPr>
        <w:spacing w:line="360" w:lineRule="auto"/>
        <w:jc w:val="both"/>
        <w:rPr>
          <w:rFonts w:ascii="Arial" w:eastAsia="Arial" w:hAnsi="Arial" w:cs="Arial"/>
          <w:color w:val="000000" w:themeColor="text1"/>
        </w:rPr>
      </w:pPr>
    </w:p>
    <w:p w14:paraId="4FA07455" w14:textId="77777777" w:rsidR="0081376D" w:rsidRPr="00242DFB" w:rsidRDefault="0081376D" w:rsidP="005B2285">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En las manifestaciones clasificadas como Riesgo Priorizado, se identificó el mayor nivel de incumplimiento, con un acumulado del 97,80%, manteniéndose elevado durante los dos semestres evaluados. Este resultado indica que la mayoría de las solicitudes clasificadas en esta categoría fueron gestionadas por fuera de los tiempos establecidos, lo cual evidencia limitaciones importantes en la capacidad institucional para responder oportunamente a requerimientos que, por su naturaleza, demandan atención preferente y gestión resolutiva.</w:t>
      </w:r>
    </w:p>
    <w:p w14:paraId="445F29C4" w14:textId="77777777" w:rsidR="00E8539F" w:rsidRPr="0081376D" w:rsidRDefault="00E8539F" w:rsidP="005B2285">
      <w:pPr>
        <w:spacing w:line="360" w:lineRule="auto"/>
        <w:jc w:val="both"/>
        <w:rPr>
          <w:rFonts w:ascii="Arial" w:eastAsia="Arial" w:hAnsi="Arial" w:cs="Arial"/>
          <w:color w:val="000000" w:themeColor="text1"/>
        </w:rPr>
      </w:pPr>
    </w:p>
    <w:p w14:paraId="599BC296" w14:textId="77777777" w:rsidR="0081376D" w:rsidRPr="00242DFB" w:rsidRDefault="0081376D" w:rsidP="005B2285">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Respecto a las PQRS de Riesgo Simple, el incumplimiento acumulado fue del 92,71%, con incremento entre semestres al pasar de 90,69% a 94,62%. Aunque estas manifestaciones presentan un menor nivel de criticidad frente a las categorías anteriores, su alto volumen —40.892 casos— convierte esta categoría en uno de los principales determinantes del comportamiento global del indicador y en una fuente relevante de presión sobre los canales de atención y gestión de la EPS.</w:t>
      </w:r>
    </w:p>
    <w:p w14:paraId="446FE253" w14:textId="77777777" w:rsidR="00E8539F" w:rsidRPr="0081376D" w:rsidRDefault="00E8539F" w:rsidP="005B2285">
      <w:pPr>
        <w:spacing w:line="360" w:lineRule="auto"/>
        <w:jc w:val="both"/>
        <w:rPr>
          <w:rFonts w:ascii="Arial" w:eastAsia="Arial" w:hAnsi="Arial" w:cs="Arial"/>
          <w:color w:val="000000" w:themeColor="text1"/>
        </w:rPr>
      </w:pPr>
    </w:p>
    <w:p w14:paraId="4784C8F0" w14:textId="77777777" w:rsidR="0081376D" w:rsidRPr="00242DFB" w:rsidRDefault="0081376D" w:rsidP="005B2285">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Por su parte, las PQRS Generales presentaron un incumplimiento acumulado del 52,11%. Si bien este porcentaje es inferior al observado en las categorías de riesgo, continúa siendo significativo, en tanto evidencia que más de la mitad de estas manifestaciones fueron respondidas por fuera de los términos establecidos. Este comportamiento refleja dificultades transversales en la gestión oportuna de las solicitudes ciudadanas, incluso en aquellas que cuentan con plazos de respuesta más amplios.</w:t>
      </w:r>
    </w:p>
    <w:p w14:paraId="27162284" w14:textId="77777777" w:rsidR="00E8539F" w:rsidRPr="0081376D" w:rsidRDefault="00E8539F" w:rsidP="005B2285">
      <w:pPr>
        <w:spacing w:line="360" w:lineRule="auto"/>
        <w:jc w:val="both"/>
        <w:rPr>
          <w:rFonts w:ascii="Arial" w:eastAsia="Arial" w:hAnsi="Arial" w:cs="Arial"/>
          <w:color w:val="000000" w:themeColor="text1"/>
        </w:rPr>
      </w:pPr>
    </w:p>
    <w:p w14:paraId="4C1D6DDD" w14:textId="77777777" w:rsidR="0081376D" w:rsidRPr="00242DFB" w:rsidRDefault="0081376D" w:rsidP="005B2285">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 xml:space="preserve">En conjunto, los resultados muestran dificultades estructurales para garantizar respuestas dentro de los tiempos definidos por la normatividad vigente, particularmente en aquellas manifestaciones con términos reducidos de atención, entre 24 y 72 horas. Aunque el proceso de gestión de PQRS dispone de una estructura para la recepción, clasificación, seguimiento y respuesta de las </w:t>
      </w:r>
      <w:r w:rsidRPr="0081376D">
        <w:rPr>
          <w:rFonts w:ascii="Arial" w:eastAsia="Arial" w:hAnsi="Arial" w:cs="Arial"/>
          <w:color w:val="000000" w:themeColor="text1"/>
        </w:rPr>
        <w:lastRenderedPageBreak/>
        <w:t>manifestaciones, la oportunidad del trámite se ve afectada por factores asociados a la articulación con la red prestadora, la disponibilidad de información, la generación de soportes y los tiempos requeridos para emitir respuestas completas, claras y resolutivas.</w:t>
      </w:r>
    </w:p>
    <w:p w14:paraId="330A708F" w14:textId="77777777" w:rsidR="00E8539F" w:rsidRPr="0081376D" w:rsidRDefault="00E8539F" w:rsidP="005B2285">
      <w:pPr>
        <w:spacing w:line="360" w:lineRule="auto"/>
        <w:jc w:val="both"/>
        <w:rPr>
          <w:rFonts w:ascii="Arial" w:eastAsia="Arial" w:hAnsi="Arial" w:cs="Arial"/>
          <w:color w:val="000000" w:themeColor="text1"/>
        </w:rPr>
      </w:pPr>
    </w:p>
    <w:p w14:paraId="200C867D" w14:textId="77777777" w:rsidR="0081376D" w:rsidRPr="00242DFB" w:rsidRDefault="0081376D" w:rsidP="005B2285">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En este contexto, los elevados porcentajes de incumplimiento, especialmente en las categorías de mayor riesgo, sugieren que las demoras en la retroalimentación por parte de los prestadores y en la gestión interna de la EPS impactan directamente la capacidad de respuesta institucional. Esta situación resulta particularmente sensible en manifestaciones relacionadas con acceso a servicios, autorizaciones, asignación de citas, entrega de tecnologías en salud y continuidad de la atención.</w:t>
      </w:r>
    </w:p>
    <w:p w14:paraId="61BDB813" w14:textId="77777777" w:rsidR="00E8539F" w:rsidRPr="0081376D" w:rsidRDefault="00E8539F" w:rsidP="005B2285">
      <w:pPr>
        <w:spacing w:line="360" w:lineRule="auto"/>
        <w:jc w:val="both"/>
        <w:rPr>
          <w:rFonts w:ascii="Arial" w:eastAsia="Arial" w:hAnsi="Arial" w:cs="Arial"/>
          <w:color w:val="000000" w:themeColor="text1"/>
        </w:rPr>
      </w:pPr>
    </w:p>
    <w:p w14:paraId="1B901CAA" w14:textId="77777777" w:rsidR="0081376D" w:rsidRPr="0081376D" w:rsidRDefault="0081376D" w:rsidP="005B2285">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La persistencia de respuestas fuera de los tiempos establecidos puede afectar negativamente la experiencia del usuario, prolongar barreras de acceso, incrementar la reiteración de reclamaciones por los mismos hechos y generar mayor presión sobre los canales institucionales de atención. Asimismo, la falta de oportunidad en la gestión puede favorecer el uso de mecanismos alternativos de reclamación, como acciones de tutela, quejas ante entes de control o nuevas solicitudes ante la Secretaría Distrital de Salud y la Superintendencia Nacional de Salud.</w:t>
      </w:r>
    </w:p>
    <w:p w14:paraId="168FBF2B" w14:textId="77777777" w:rsidR="0081376D" w:rsidRPr="00242DFB" w:rsidRDefault="0081376D" w:rsidP="005B2285">
      <w:pPr>
        <w:spacing w:line="360" w:lineRule="auto"/>
        <w:jc w:val="both"/>
        <w:rPr>
          <w:rFonts w:ascii="Arial" w:eastAsia="Arial" w:hAnsi="Arial" w:cs="Arial"/>
          <w:color w:val="000000" w:themeColor="text1"/>
        </w:rPr>
      </w:pPr>
    </w:p>
    <w:p w14:paraId="02A86287" w14:textId="2282FF7A" w:rsidR="0081376D" w:rsidRPr="0081376D" w:rsidRDefault="0081376D" w:rsidP="005B2285">
      <w:pPr>
        <w:spacing w:line="360" w:lineRule="auto"/>
        <w:jc w:val="both"/>
        <w:rPr>
          <w:rFonts w:ascii="Arial" w:eastAsia="Arial" w:hAnsi="Arial" w:cs="Arial"/>
          <w:color w:val="000000" w:themeColor="text1"/>
        </w:rPr>
      </w:pPr>
      <w:r w:rsidRPr="0081376D">
        <w:rPr>
          <w:rFonts w:ascii="Arial" w:eastAsia="Arial" w:hAnsi="Arial" w:cs="Arial"/>
          <w:color w:val="000000" w:themeColor="text1"/>
        </w:rPr>
        <w:t>Esta situación dio lugar a un hallazgo en la auditoría de Inspección, Vigilancia y Seguimiento realizada entre el 28 de julio y el 1 de agosto, en la cual se evaluó el periodo correspondiente al segundo semestre de 2024 y primer semestre de 2025. En dicha actuación se evidenció que no se garantizó el trámite oportuno de las PQRS conforme a los plazos normativos establecidos, configurando una alerta relevante frente a la capacidad de respuesta institucional y a la garantía efectiva del derecho fundamental a la salud.</w:t>
      </w:r>
    </w:p>
    <w:p w14:paraId="46E1F88C" w14:textId="77777777" w:rsidR="009F762E" w:rsidRPr="00242DFB" w:rsidRDefault="009F762E" w:rsidP="005B2285">
      <w:pPr>
        <w:spacing w:line="360" w:lineRule="auto"/>
        <w:rPr>
          <w:rFonts w:ascii="Arial" w:eastAsia="Arial" w:hAnsi="Arial" w:cs="Arial"/>
          <w:color w:val="000000" w:themeColor="text1"/>
        </w:rPr>
      </w:pPr>
    </w:p>
    <w:p w14:paraId="6608FA55" w14:textId="77777777" w:rsidR="009F762E" w:rsidRPr="00242DFB" w:rsidRDefault="00000000" w:rsidP="005B2285">
      <w:pPr>
        <w:pStyle w:val="Ttulo2"/>
        <w:numPr>
          <w:ilvl w:val="1"/>
          <w:numId w:val="7"/>
        </w:numPr>
        <w:spacing w:before="0" w:line="360" w:lineRule="auto"/>
        <w:jc w:val="both"/>
        <w:rPr>
          <w:rFonts w:ascii="Arial" w:eastAsia="Arial" w:hAnsi="Arial" w:cs="Arial"/>
          <w:b/>
          <w:bCs/>
          <w:color w:val="000000" w:themeColor="text1"/>
          <w:sz w:val="24"/>
          <w:szCs w:val="24"/>
        </w:rPr>
      </w:pPr>
      <w:bookmarkStart w:id="45" w:name="__RefHeading___Toc8586_542869190"/>
      <w:bookmarkStart w:id="46" w:name="_Toc230853768"/>
      <w:bookmarkStart w:id="47" w:name="_Toc233574830"/>
      <w:bookmarkEnd w:id="45"/>
      <w:r w:rsidRPr="00242DFB">
        <w:rPr>
          <w:rFonts w:ascii="Arial" w:eastAsia="Arial" w:hAnsi="Arial" w:cs="Arial"/>
          <w:b/>
          <w:bCs/>
          <w:color w:val="000000"/>
          <w:sz w:val="24"/>
          <w:szCs w:val="24"/>
        </w:rPr>
        <w:t>Principales barreras de acceso identificadas</w:t>
      </w:r>
      <w:bookmarkEnd w:id="46"/>
      <w:bookmarkEnd w:id="47"/>
    </w:p>
    <w:p w14:paraId="0178892B" w14:textId="77777777" w:rsidR="009F762E" w:rsidRPr="00242DFB" w:rsidRDefault="009F762E" w:rsidP="005B2285">
      <w:pPr>
        <w:spacing w:line="360" w:lineRule="auto"/>
        <w:rPr>
          <w:rFonts w:ascii="Arial" w:hAnsi="Arial" w:cs="Arial"/>
          <w:color w:val="000000" w:themeColor="text1"/>
        </w:rPr>
      </w:pPr>
    </w:p>
    <w:p w14:paraId="0832D485"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lastRenderedPageBreak/>
        <w:t>Con el propósito de identificar y priorizar las principales causas de inconformidad manifestadas por los usuarios, a continuación, se presentan los principales motivos de las Peticiones, Quejas, Reclamos, Sugerencias y Denuncias (PQRS) registradas durante la vigencia evaluada. La información se organiza según el número total de PQRS y su porcentaje de participación, lo cual permite dimensionar la frecuencia relativa de cada motivo y facilitar la comprensión del impacto que estas situaciones tienen sobre el acceso, la oportunidad y la continuidad de la atención en salud.</w:t>
      </w:r>
    </w:p>
    <w:p w14:paraId="210FB801"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7312BA7E"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Este análisis permite evidenciar las barreras más recurrentes que afectan la satisfacción del usuario y orientar la adopción de acciones correctivas enfocadas en la mejora de la prestación de los servicios de salud y en la garantía del derecho fundamental a la salud como servicio público esencial.</w:t>
      </w:r>
    </w:p>
    <w:p w14:paraId="1FFBB018" w14:textId="2790A746" w:rsidR="009F762E" w:rsidRPr="00242DFB" w:rsidRDefault="009F762E" w:rsidP="005B2285">
      <w:pPr>
        <w:spacing w:line="360" w:lineRule="auto"/>
        <w:jc w:val="center"/>
        <w:rPr>
          <w:rFonts w:ascii="Arial" w:eastAsia="Arial" w:hAnsi="Arial" w:cs="Arial"/>
          <w:b/>
          <w:bCs/>
          <w:color w:val="000000" w:themeColor="text1"/>
        </w:rPr>
      </w:pPr>
    </w:p>
    <w:p w14:paraId="5063E6BB" w14:textId="0D563A8B" w:rsidR="009C18FE" w:rsidRPr="00242DFB" w:rsidRDefault="009C18FE" w:rsidP="005B2285">
      <w:pPr>
        <w:pStyle w:val="Descripcin"/>
        <w:keepNext/>
        <w:spacing w:after="0"/>
        <w:jc w:val="center"/>
        <w:rPr>
          <w:rFonts w:ascii="Arial" w:hAnsi="Arial" w:cs="Arial"/>
          <w:color w:val="000000" w:themeColor="text1"/>
          <w:sz w:val="24"/>
          <w:szCs w:val="24"/>
        </w:rPr>
      </w:pPr>
      <w:bookmarkStart w:id="48" w:name="_Toc233574869"/>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9</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Principales motivos de manifestaciones, Capital Salud EPS-S, 2025</w:t>
      </w:r>
      <w:bookmarkEnd w:id="48"/>
    </w:p>
    <w:tbl>
      <w:tblPr>
        <w:tblStyle w:val="Tablaconcuadrcula"/>
        <w:tblW w:w="0" w:type="auto"/>
        <w:tblLook w:val="04A0" w:firstRow="1" w:lastRow="0" w:firstColumn="1" w:lastColumn="0" w:noHBand="0" w:noVBand="1"/>
      </w:tblPr>
      <w:tblGrid>
        <w:gridCol w:w="5585"/>
        <w:gridCol w:w="1418"/>
        <w:gridCol w:w="1825"/>
      </w:tblGrid>
      <w:tr w:rsidR="002B36F9" w:rsidRPr="002B36F9" w14:paraId="6F9AD268" w14:textId="77777777" w:rsidTr="00D83CAF">
        <w:tc>
          <w:tcPr>
            <w:tcW w:w="0" w:type="auto"/>
            <w:vAlign w:val="center"/>
            <w:hideMark/>
          </w:tcPr>
          <w:p w14:paraId="1B35C939" w14:textId="77777777" w:rsidR="002B36F9" w:rsidRPr="002B36F9" w:rsidRDefault="002B36F9" w:rsidP="005B2285">
            <w:pPr>
              <w:spacing w:line="360" w:lineRule="auto"/>
              <w:jc w:val="center"/>
              <w:rPr>
                <w:rFonts w:ascii="Arial" w:hAnsi="Arial" w:cs="Arial"/>
                <w:b/>
                <w:bCs/>
                <w:color w:val="000000"/>
                <w:sz w:val="22"/>
                <w:szCs w:val="22"/>
              </w:rPr>
            </w:pPr>
            <w:r w:rsidRPr="002B36F9">
              <w:rPr>
                <w:rFonts w:ascii="Arial" w:hAnsi="Arial" w:cs="Arial"/>
                <w:b/>
                <w:bCs/>
                <w:color w:val="000000"/>
                <w:sz w:val="22"/>
                <w:szCs w:val="22"/>
              </w:rPr>
              <w:t>Motivo</w:t>
            </w:r>
          </w:p>
        </w:tc>
        <w:tc>
          <w:tcPr>
            <w:tcW w:w="0" w:type="auto"/>
            <w:vAlign w:val="center"/>
            <w:hideMark/>
          </w:tcPr>
          <w:p w14:paraId="797555FD" w14:textId="662D0F14" w:rsidR="002B36F9" w:rsidRPr="002B36F9" w:rsidRDefault="00022F3E" w:rsidP="005B2285">
            <w:pPr>
              <w:spacing w:line="360" w:lineRule="auto"/>
              <w:jc w:val="center"/>
              <w:rPr>
                <w:rFonts w:ascii="Arial" w:hAnsi="Arial" w:cs="Arial"/>
                <w:b/>
                <w:bCs/>
                <w:color w:val="000000"/>
                <w:sz w:val="22"/>
                <w:szCs w:val="22"/>
              </w:rPr>
            </w:pPr>
            <w:r w:rsidRPr="002B36F9">
              <w:rPr>
                <w:rFonts w:ascii="Arial" w:hAnsi="Arial" w:cs="Arial"/>
                <w:b/>
                <w:bCs/>
                <w:color w:val="000000"/>
                <w:sz w:val="22"/>
                <w:szCs w:val="22"/>
              </w:rPr>
              <w:t>Total,</w:t>
            </w:r>
            <w:r w:rsidR="002B36F9" w:rsidRPr="002B36F9">
              <w:rPr>
                <w:rFonts w:ascii="Arial" w:hAnsi="Arial" w:cs="Arial"/>
                <w:b/>
                <w:bCs/>
                <w:color w:val="000000"/>
                <w:sz w:val="22"/>
                <w:szCs w:val="22"/>
              </w:rPr>
              <w:t xml:space="preserve"> PQRS</w:t>
            </w:r>
          </w:p>
        </w:tc>
        <w:tc>
          <w:tcPr>
            <w:tcW w:w="0" w:type="auto"/>
            <w:vAlign w:val="center"/>
            <w:hideMark/>
          </w:tcPr>
          <w:p w14:paraId="2570B34A" w14:textId="074C9101" w:rsidR="002B36F9" w:rsidRPr="002B36F9" w:rsidRDefault="002B36F9" w:rsidP="005B2285">
            <w:pPr>
              <w:spacing w:line="360" w:lineRule="auto"/>
              <w:jc w:val="center"/>
              <w:rPr>
                <w:rFonts w:ascii="Arial" w:hAnsi="Arial" w:cs="Arial"/>
                <w:b/>
                <w:bCs/>
                <w:color w:val="000000"/>
                <w:sz w:val="22"/>
                <w:szCs w:val="22"/>
              </w:rPr>
            </w:pPr>
            <w:r w:rsidRPr="002B36F9">
              <w:rPr>
                <w:rFonts w:ascii="Arial" w:hAnsi="Arial" w:cs="Arial"/>
                <w:b/>
                <w:bCs/>
                <w:color w:val="000000"/>
                <w:sz w:val="22"/>
                <w:szCs w:val="22"/>
              </w:rPr>
              <w:t xml:space="preserve">% Participación </w:t>
            </w:r>
          </w:p>
        </w:tc>
      </w:tr>
      <w:tr w:rsidR="002B36F9" w:rsidRPr="002B36F9" w14:paraId="5E4105F9" w14:textId="77777777" w:rsidTr="00D83CAF">
        <w:tc>
          <w:tcPr>
            <w:tcW w:w="0" w:type="auto"/>
            <w:vAlign w:val="center"/>
            <w:hideMark/>
          </w:tcPr>
          <w:p w14:paraId="2186C649" w14:textId="77777777" w:rsidR="002B36F9" w:rsidRPr="002B36F9" w:rsidRDefault="002B36F9" w:rsidP="005B2285">
            <w:pPr>
              <w:spacing w:line="360" w:lineRule="auto"/>
              <w:jc w:val="both"/>
              <w:rPr>
                <w:rFonts w:ascii="Arial" w:hAnsi="Arial" w:cs="Arial"/>
                <w:color w:val="000000"/>
                <w:sz w:val="22"/>
                <w:szCs w:val="22"/>
              </w:rPr>
            </w:pPr>
            <w:r w:rsidRPr="002B36F9">
              <w:rPr>
                <w:rFonts w:ascii="Arial" w:hAnsi="Arial" w:cs="Arial"/>
                <w:color w:val="000000"/>
                <w:sz w:val="22"/>
                <w:szCs w:val="22"/>
              </w:rPr>
              <w:t>Oportunidad citas red contratada</w:t>
            </w:r>
          </w:p>
        </w:tc>
        <w:tc>
          <w:tcPr>
            <w:tcW w:w="0" w:type="auto"/>
            <w:vAlign w:val="center"/>
            <w:hideMark/>
          </w:tcPr>
          <w:p w14:paraId="4A71A494" w14:textId="77777777" w:rsidR="002B36F9" w:rsidRPr="002B36F9" w:rsidRDefault="002B36F9" w:rsidP="005B2285">
            <w:pPr>
              <w:spacing w:line="360" w:lineRule="auto"/>
              <w:jc w:val="center"/>
              <w:rPr>
                <w:rFonts w:ascii="Arial" w:hAnsi="Arial" w:cs="Arial"/>
                <w:color w:val="000000"/>
                <w:sz w:val="22"/>
                <w:szCs w:val="22"/>
              </w:rPr>
            </w:pPr>
            <w:r w:rsidRPr="002B36F9">
              <w:rPr>
                <w:rFonts w:ascii="Arial" w:hAnsi="Arial" w:cs="Arial"/>
                <w:color w:val="000000"/>
                <w:sz w:val="22"/>
                <w:szCs w:val="22"/>
              </w:rPr>
              <w:t>53.455</w:t>
            </w:r>
          </w:p>
        </w:tc>
        <w:tc>
          <w:tcPr>
            <w:tcW w:w="0" w:type="auto"/>
            <w:vAlign w:val="center"/>
            <w:hideMark/>
          </w:tcPr>
          <w:p w14:paraId="04C3953D" w14:textId="77777777" w:rsidR="002B36F9" w:rsidRPr="002B36F9" w:rsidRDefault="002B36F9" w:rsidP="005B2285">
            <w:pPr>
              <w:spacing w:line="360" w:lineRule="auto"/>
              <w:jc w:val="center"/>
              <w:rPr>
                <w:rFonts w:ascii="Arial" w:hAnsi="Arial" w:cs="Arial"/>
                <w:color w:val="000000"/>
                <w:sz w:val="22"/>
                <w:szCs w:val="22"/>
              </w:rPr>
            </w:pPr>
            <w:r w:rsidRPr="002B36F9">
              <w:rPr>
                <w:rFonts w:ascii="Arial" w:hAnsi="Arial" w:cs="Arial"/>
                <w:b/>
                <w:bCs/>
                <w:color w:val="000000"/>
                <w:sz w:val="22"/>
                <w:szCs w:val="22"/>
              </w:rPr>
              <w:t>66,94%</w:t>
            </w:r>
          </w:p>
        </w:tc>
      </w:tr>
      <w:tr w:rsidR="002B36F9" w:rsidRPr="002B36F9" w14:paraId="01218054" w14:textId="77777777" w:rsidTr="00D83CAF">
        <w:tc>
          <w:tcPr>
            <w:tcW w:w="0" w:type="auto"/>
            <w:vAlign w:val="center"/>
            <w:hideMark/>
          </w:tcPr>
          <w:p w14:paraId="7F8EFFDD" w14:textId="77777777" w:rsidR="002B36F9" w:rsidRPr="002B36F9" w:rsidRDefault="002B36F9" w:rsidP="005B2285">
            <w:pPr>
              <w:spacing w:line="360" w:lineRule="auto"/>
              <w:jc w:val="both"/>
              <w:rPr>
                <w:rFonts w:ascii="Arial" w:hAnsi="Arial" w:cs="Arial"/>
                <w:color w:val="000000"/>
                <w:sz w:val="22"/>
                <w:szCs w:val="22"/>
              </w:rPr>
            </w:pPr>
            <w:r w:rsidRPr="002B36F9">
              <w:rPr>
                <w:rFonts w:ascii="Arial" w:hAnsi="Arial" w:cs="Arial"/>
                <w:color w:val="000000"/>
                <w:sz w:val="22"/>
                <w:szCs w:val="22"/>
              </w:rPr>
              <w:t>No suministro de medicamentos</w:t>
            </w:r>
          </w:p>
        </w:tc>
        <w:tc>
          <w:tcPr>
            <w:tcW w:w="0" w:type="auto"/>
            <w:vAlign w:val="center"/>
            <w:hideMark/>
          </w:tcPr>
          <w:p w14:paraId="2BFABC65" w14:textId="77777777" w:rsidR="002B36F9" w:rsidRPr="002B36F9" w:rsidRDefault="002B36F9" w:rsidP="005B2285">
            <w:pPr>
              <w:spacing w:line="360" w:lineRule="auto"/>
              <w:jc w:val="center"/>
              <w:rPr>
                <w:rFonts w:ascii="Arial" w:hAnsi="Arial" w:cs="Arial"/>
                <w:color w:val="000000"/>
                <w:sz w:val="22"/>
                <w:szCs w:val="22"/>
              </w:rPr>
            </w:pPr>
            <w:r w:rsidRPr="002B36F9">
              <w:rPr>
                <w:rFonts w:ascii="Arial" w:hAnsi="Arial" w:cs="Arial"/>
                <w:color w:val="000000"/>
                <w:sz w:val="22"/>
                <w:szCs w:val="22"/>
              </w:rPr>
              <w:t>18.574</w:t>
            </w:r>
          </w:p>
        </w:tc>
        <w:tc>
          <w:tcPr>
            <w:tcW w:w="0" w:type="auto"/>
            <w:vAlign w:val="center"/>
            <w:hideMark/>
          </w:tcPr>
          <w:p w14:paraId="4D1A32F3" w14:textId="77777777" w:rsidR="002B36F9" w:rsidRPr="002B36F9" w:rsidRDefault="002B36F9" w:rsidP="005B2285">
            <w:pPr>
              <w:spacing w:line="360" w:lineRule="auto"/>
              <w:jc w:val="center"/>
              <w:rPr>
                <w:rFonts w:ascii="Arial" w:hAnsi="Arial" w:cs="Arial"/>
                <w:color w:val="000000"/>
                <w:sz w:val="22"/>
                <w:szCs w:val="22"/>
              </w:rPr>
            </w:pPr>
            <w:r w:rsidRPr="002B36F9">
              <w:rPr>
                <w:rFonts w:ascii="Arial" w:hAnsi="Arial" w:cs="Arial"/>
                <w:b/>
                <w:bCs/>
                <w:color w:val="000000"/>
                <w:sz w:val="22"/>
                <w:szCs w:val="22"/>
              </w:rPr>
              <w:t>23,26%</w:t>
            </w:r>
          </w:p>
        </w:tc>
      </w:tr>
      <w:tr w:rsidR="002B36F9" w:rsidRPr="002B36F9" w14:paraId="6F1461F0" w14:textId="77777777" w:rsidTr="00D83CAF">
        <w:tc>
          <w:tcPr>
            <w:tcW w:w="0" w:type="auto"/>
            <w:vAlign w:val="center"/>
            <w:hideMark/>
          </w:tcPr>
          <w:p w14:paraId="7D44C724" w14:textId="77777777" w:rsidR="002B36F9" w:rsidRPr="002B36F9" w:rsidRDefault="002B36F9" w:rsidP="005B2285">
            <w:pPr>
              <w:spacing w:line="360" w:lineRule="auto"/>
              <w:jc w:val="both"/>
              <w:rPr>
                <w:rFonts w:ascii="Arial" w:hAnsi="Arial" w:cs="Arial"/>
                <w:color w:val="000000"/>
                <w:sz w:val="22"/>
                <w:szCs w:val="22"/>
              </w:rPr>
            </w:pPr>
            <w:r w:rsidRPr="002B36F9">
              <w:rPr>
                <w:rFonts w:ascii="Arial" w:hAnsi="Arial" w:cs="Arial"/>
                <w:color w:val="000000"/>
                <w:sz w:val="22"/>
                <w:szCs w:val="22"/>
              </w:rPr>
              <w:t>Demora en la prestación de servicios</w:t>
            </w:r>
          </w:p>
        </w:tc>
        <w:tc>
          <w:tcPr>
            <w:tcW w:w="0" w:type="auto"/>
            <w:vAlign w:val="center"/>
            <w:hideMark/>
          </w:tcPr>
          <w:p w14:paraId="5298ABDC" w14:textId="77777777" w:rsidR="002B36F9" w:rsidRPr="002B36F9" w:rsidRDefault="002B36F9" w:rsidP="005B2285">
            <w:pPr>
              <w:spacing w:line="360" w:lineRule="auto"/>
              <w:jc w:val="center"/>
              <w:rPr>
                <w:rFonts w:ascii="Arial" w:hAnsi="Arial" w:cs="Arial"/>
                <w:color w:val="000000"/>
                <w:sz w:val="22"/>
                <w:szCs w:val="22"/>
              </w:rPr>
            </w:pPr>
            <w:r w:rsidRPr="002B36F9">
              <w:rPr>
                <w:rFonts w:ascii="Arial" w:hAnsi="Arial" w:cs="Arial"/>
                <w:color w:val="000000"/>
                <w:sz w:val="22"/>
                <w:szCs w:val="22"/>
              </w:rPr>
              <w:t>4.076</w:t>
            </w:r>
          </w:p>
        </w:tc>
        <w:tc>
          <w:tcPr>
            <w:tcW w:w="0" w:type="auto"/>
            <w:vAlign w:val="center"/>
            <w:hideMark/>
          </w:tcPr>
          <w:p w14:paraId="4605FEFF" w14:textId="77777777" w:rsidR="002B36F9" w:rsidRPr="002B36F9" w:rsidRDefault="002B36F9" w:rsidP="005B2285">
            <w:pPr>
              <w:spacing w:line="360" w:lineRule="auto"/>
              <w:jc w:val="center"/>
              <w:rPr>
                <w:rFonts w:ascii="Arial" w:hAnsi="Arial" w:cs="Arial"/>
                <w:color w:val="000000"/>
                <w:sz w:val="22"/>
                <w:szCs w:val="22"/>
              </w:rPr>
            </w:pPr>
            <w:r w:rsidRPr="002B36F9">
              <w:rPr>
                <w:rFonts w:ascii="Arial" w:hAnsi="Arial" w:cs="Arial"/>
                <w:b/>
                <w:bCs/>
                <w:color w:val="000000"/>
                <w:sz w:val="22"/>
                <w:szCs w:val="22"/>
              </w:rPr>
              <w:t>5,10%</w:t>
            </w:r>
          </w:p>
        </w:tc>
      </w:tr>
      <w:tr w:rsidR="002B36F9" w:rsidRPr="002B36F9" w14:paraId="5F63FF84" w14:textId="77777777" w:rsidTr="00D83CAF">
        <w:tc>
          <w:tcPr>
            <w:tcW w:w="0" w:type="auto"/>
            <w:vAlign w:val="center"/>
            <w:hideMark/>
          </w:tcPr>
          <w:p w14:paraId="7BFE2434" w14:textId="77777777" w:rsidR="002B36F9" w:rsidRPr="002B36F9" w:rsidRDefault="002B36F9" w:rsidP="005B2285">
            <w:pPr>
              <w:spacing w:line="360" w:lineRule="auto"/>
              <w:jc w:val="both"/>
              <w:rPr>
                <w:rFonts w:ascii="Arial" w:hAnsi="Arial" w:cs="Arial"/>
                <w:color w:val="000000"/>
                <w:sz w:val="22"/>
                <w:szCs w:val="22"/>
              </w:rPr>
            </w:pPr>
            <w:r w:rsidRPr="002B36F9">
              <w:rPr>
                <w:rFonts w:ascii="Arial" w:hAnsi="Arial" w:cs="Arial"/>
                <w:color w:val="000000"/>
                <w:sz w:val="22"/>
                <w:szCs w:val="22"/>
              </w:rPr>
              <w:t>Inconsistencias en sistemas de información / aseguramiento</w:t>
            </w:r>
          </w:p>
        </w:tc>
        <w:tc>
          <w:tcPr>
            <w:tcW w:w="0" w:type="auto"/>
            <w:vAlign w:val="center"/>
            <w:hideMark/>
          </w:tcPr>
          <w:p w14:paraId="5FBFCE02" w14:textId="77777777" w:rsidR="002B36F9" w:rsidRPr="002B36F9" w:rsidRDefault="002B36F9" w:rsidP="005B2285">
            <w:pPr>
              <w:spacing w:line="360" w:lineRule="auto"/>
              <w:jc w:val="center"/>
              <w:rPr>
                <w:rFonts w:ascii="Arial" w:hAnsi="Arial" w:cs="Arial"/>
                <w:color w:val="000000"/>
                <w:sz w:val="22"/>
                <w:szCs w:val="22"/>
              </w:rPr>
            </w:pPr>
            <w:r w:rsidRPr="002B36F9">
              <w:rPr>
                <w:rFonts w:ascii="Arial" w:hAnsi="Arial" w:cs="Arial"/>
                <w:color w:val="000000"/>
                <w:sz w:val="22"/>
                <w:szCs w:val="22"/>
              </w:rPr>
              <w:t>2.411</w:t>
            </w:r>
          </w:p>
        </w:tc>
        <w:tc>
          <w:tcPr>
            <w:tcW w:w="0" w:type="auto"/>
            <w:vAlign w:val="center"/>
            <w:hideMark/>
          </w:tcPr>
          <w:p w14:paraId="5C4F0AF3" w14:textId="77777777" w:rsidR="002B36F9" w:rsidRPr="002B36F9" w:rsidRDefault="002B36F9" w:rsidP="005B2285">
            <w:pPr>
              <w:spacing w:line="360" w:lineRule="auto"/>
              <w:jc w:val="center"/>
              <w:rPr>
                <w:rFonts w:ascii="Arial" w:hAnsi="Arial" w:cs="Arial"/>
                <w:color w:val="000000"/>
                <w:sz w:val="22"/>
                <w:szCs w:val="22"/>
              </w:rPr>
            </w:pPr>
            <w:r w:rsidRPr="002B36F9">
              <w:rPr>
                <w:rFonts w:ascii="Arial" w:hAnsi="Arial" w:cs="Arial"/>
                <w:b/>
                <w:bCs/>
                <w:color w:val="000000"/>
                <w:sz w:val="22"/>
                <w:szCs w:val="22"/>
              </w:rPr>
              <w:t>3,02%</w:t>
            </w:r>
          </w:p>
        </w:tc>
      </w:tr>
      <w:tr w:rsidR="002B36F9" w:rsidRPr="002B36F9" w14:paraId="1C367148" w14:textId="77777777" w:rsidTr="00D83CAF">
        <w:tc>
          <w:tcPr>
            <w:tcW w:w="0" w:type="auto"/>
            <w:vAlign w:val="center"/>
            <w:hideMark/>
          </w:tcPr>
          <w:p w14:paraId="1A4E52BB" w14:textId="77777777" w:rsidR="002B36F9" w:rsidRPr="002B36F9" w:rsidRDefault="002B36F9" w:rsidP="005B2285">
            <w:pPr>
              <w:spacing w:line="360" w:lineRule="auto"/>
              <w:jc w:val="both"/>
              <w:rPr>
                <w:rFonts w:ascii="Arial" w:hAnsi="Arial" w:cs="Arial"/>
                <w:color w:val="000000"/>
                <w:sz w:val="22"/>
                <w:szCs w:val="22"/>
              </w:rPr>
            </w:pPr>
            <w:r w:rsidRPr="002B36F9">
              <w:rPr>
                <w:rFonts w:ascii="Arial" w:hAnsi="Arial" w:cs="Arial"/>
                <w:color w:val="000000"/>
                <w:sz w:val="22"/>
                <w:szCs w:val="22"/>
              </w:rPr>
              <w:t>Dificultad de accesibilidad administrativa</w:t>
            </w:r>
          </w:p>
        </w:tc>
        <w:tc>
          <w:tcPr>
            <w:tcW w:w="0" w:type="auto"/>
            <w:vAlign w:val="center"/>
            <w:hideMark/>
          </w:tcPr>
          <w:p w14:paraId="49C8995D" w14:textId="77777777" w:rsidR="002B36F9" w:rsidRPr="002B36F9" w:rsidRDefault="002B36F9" w:rsidP="005B2285">
            <w:pPr>
              <w:spacing w:line="360" w:lineRule="auto"/>
              <w:jc w:val="center"/>
              <w:rPr>
                <w:rFonts w:ascii="Arial" w:hAnsi="Arial" w:cs="Arial"/>
                <w:color w:val="000000"/>
                <w:sz w:val="22"/>
                <w:szCs w:val="22"/>
              </w:rPr>
            </w:pPr>
            <w:r w:rsidRPr="002B36F9">
              <w:rPr>
                <w:rFonts w:ascii="Arial" w:hAnsi="Arial" w:cs="Arial"/>
                <w:color w:val="000000"/>
                <w:sz w:val="22"/>
                <w:szCs w:val="22"/>
              </w:rPr>
              <w:t>1.339</w:t>
            </w:r>
          </w:p>
        </w:tc>
        <w:tc>
          <w:tcPr>
            <w:tcW w:w="0" w:type="auto"/>
            <w:vAlign w:val="center"/>
            <w:hideMark/>
          </w:tcPr>
          <w:p w14:paraId="2FB05EED" w14:textId="77777777" w:rsidR="002B36F9" w:rsidRPr="002B36F9" w:rsidRDefault="002B36F9" w:rsidP="005B2285">
            <w:pPr>
              <w:spacing w:line="360" w:lineRule="auto"/>
              <w:jc w:val="center"/>
              <w:rPr>
                <w:rFonts w:ascii="Arial" w:hAnsi="Arial" w:cs="Arial"/>
                <w:color w:val="000000"/>
                <w:sz w:val="22"/>
                <w:szCs w:val="22"/>
              </w:rPr>
            </w:pPr>
            <w:r w:rsidRPr="002B36F9">
              <w:rPr>
                <w:rFonts w:ascii="Arial" w:hAnsi="Arial" w:cs="Arial"/>
                <w:b/>
                <w:bCs/>
                <w:color w:val="000000"/>
                <w:sz w:val="22"/>
                <w:szCs w:val="22"/>
              </w:rPr>
              <w:t>1,68%</w:t>
            </w:r>
          </w:p>
        </w:tc>
      </w:tr>
      <w:tr w:rsidR="002B36F9" w:rsidRPr="002B36F9" w14:paraId="1B7A1AC2" w14:textId="77777777" w:rsidTr="00D83CAF">
        <w:tc>
          <w:tcPr>
            <w:tcW w:w="0" w:type="auto"/>
            <w:vAlign w:val="center"/>
            <w:hideMark/>
          </w:tcPr>
          <w:p w14:paraId="6FA4A00F" w14:textId="77777777" w:rsidR="002B36F9" w:rsidRPr="002B36F9" w:rsidRDefault="002B36F9" w:rsidP="005B2285">
            <w:pPr>
              <w:spacing w:line="360" w:lineRule="auto"/>
              <w:jc w:val="both"/>
              <w:rPr>
                <w:rFonts w:ascii="Arial" w:hAnsi="Arial" w:cs="Arial"/>
                <w:color w:val="000000"/>
                <w:sz w:val="22"/>
                <w:szCs w:val="22"/>
              </w:rPr>
            </w:pPr>
            <w:r w:rsidRPr="002B36F9">
              <w:rPr>
                <w:rFonts w:ascii="Arial" w:hAnsi="Arial" w:cs="Arial"/>
                <w:b/>
                <w:bCs/>
                <w:color w:val="000000"/>
                <w:sz w:val="22"/>
                <w:szCs w:val="22"/>
              </w:rPr>
              <w:t>Total</w:t>
            </w:r>
          </w:p>
        </w:tc>
        <w:tc>
          <w:tcPr>
            <w:tcW w:w="0" w:type="auto"/>
            <w:vAlign w:val="center"/>
            <w:hideMark/>
          </w:tcPr>
          <w:p w14:paraId="199D558A" w14:textId="77777777" w:rsidR="002B36F9" w:rsidRPr="002B36F9" w:rsidRDefault="002B36F9" w:rsidP="005B2285">
            <w:pPr>
              <w:spacing w:line="360" w:lineRule="auto"/>
              <w:jc w:val="center"/>
              <w:rPr>
                <w:rFonts w:ascii="Arial" w:hAnsi="Arial" w:cs="Arial"/>
                <w:color w:val="000000"/>
                <w:sz w:val="22"/>
                <w:szCs w:val="22"/>
              </w:rPr>
            </w:pPr>
            <w:r w:rsidRPr="002B36F9">
              <w:rPr>
                <w:rFonts w:ascii="Arial" w:hAnsi="Arial" w:cs="Arial"/>
                <w:b/>
                <w:bCs/>
                <w:color w:val="000000"/>
                <w:sz w:val="22"/>
                <w:szCs w:val="22"/>
              </w:rPr>
              <w:t>79.855</w:t>
            </w:r>
          </w:p>
        </w:tc>
        <w:tc>
          <w:tcPr>
            <w:tcW w:w="0" w:type="auto"/>
            <w:vAlign w:val="center"/>
            <w:hideMark/>
          </w:tcPr>
          <w:p w14:paraId="43E74CCD" w14:textId="77777777" w:rsidR="002B36F9" w:rsidRPr="002B36F9" w:rsidRDefault="002B36F9" w:rsidP="005B2285">
            <w:pPr>
              <w:spacing w:line="360" w:lineRule="auto"/>
              <w:jc w:val="center"/>
              <w:rPr>
                <w:rFonts w:ascii="Arial" w:hAnsi="Arial" w:cs="Arial"/>
                <w:color w:val="000000"/>
                <w:sz w:val="22"/>
                <w:szCs w:val="22"/>
              </w:rPr>
            </w:pPr>
            <w:r w:rsidRPr="002B36F9">
              <w:rPr>
                <w:rFonts w:ascii="Arial" w:hAnsi="Arial" w:cs="Arial"/>
                <w:b/>
                <w:bCs/>
                <w:color w:val="000000"/>
                <w:sz w:val="22"/>
                <w:szCs w:val="22"/>
              </w:rPr>
              <w:t>100,00%</w:t>
            </w:r>
          </w:p>
        </w:tc>
      </w:tr>
    </w:tbl>
    <w:p w14:paraId="50E53CBF" w14:textId="77777777" w:rsidR="002B36F9" w:rsidRPr="00242DFB" w:rsidRDefault="002B36F9" w:rsidP="005B2285">
      <w:pPr>
        <w:spacing w:line="360" w:lineRule="auto"/>
        <w:jc w:val="both"/>
        <w:rPr>
          <w:rFonts w:ascii="Arial" w:hAnsi="Arial" w:cs="Arial"/>
          <w:color w:val="000000"/>
          <w:sz w:val="16"/>
          <w:szCs w:val="16"/>
        </w:rPr>
      </w:pPr>
    </w:p>
    <w:p w14:paraId="5A7072EE" w14:textId="77777777" w:rsidR="002E6AF9" w:rsidRDefault="00000000" w:rsidP="005B2285">
      <w:pPr>
        <w:spacing w:line="360" w:lineRule="auto"/>
        <w:jc w:val="both"/>
        <w:rPr>
          <w:rFonts w:ascii="Arial" w:hAnsi="Arial" w:cs="Arial"/>
          <w:color w:val="000000"/>
          <w:sz w:val="16"/>
          <w:szCs w:val="16"/>
        </w:rPr>
      </w:pPr>
      <w:r w:rsidRPr="00242DFB">
        <w:rPr>
          <w:rFonts w:ascii="Arial" w:hAnsi="Arial" w:cs="Arial"/>
          <w:color w:val="000000"/>
          <w:sz w:val="16"/>
          <w:szCs w:val="16"/>
        </w:rPr>
        <w:t>Fuente: Acta de Auditoría IVS Capital Salud EPS-S II Sem. 2024 – I Sem. 2025- Subcomponente Gestión Efectiva de PQRS - II Sem 2025 Información reportada por la Entidad base de datos del aplicativo Ágil Salud de Capital Salud EPS-S</w:t>
      </w:r>
      <w:r w:rsidR="002E6AF9">
        <w:rPr>
          <w:rFonts w:ascii="Arial" w:hAnsi="Arial" w:cs="Arial"/>
          <w:color w:val="000000"/>
          <w:sz w:val="16"/>
          <w:szCs w:val="16"/>
        </w:rPr>
        <w:t>.</w:t>
      </w:r>
    </w:p>
    <w:p w14:paraId="0CB543BC" w14:textId="26F60A7A" w:rsidR="009F762E" w:rsidRPr="00022F3E" w:rsidRDefault="009F762E" w:rsidP="005B2285">
      <w:pPr>
        <w:spacing w:line="360" w:lineRule="auto"/>
        <w:jc w:val="both"/>
        <w:rPr>
          <w:rFonts w:ascii="Arial" w:hAnsi="Arial" w:cs="Arial"/>
          <w:color w:val="000000" w:themeColor="text1"/>
          <w:sz w:val="16"/>
          <w:szCs w:val="16"/>
        </w:rPr>
      </w:pPr>
    </w:p>
    <w:p w14:paraId="0F578B84" w14:textId="77777777" w:rsidR="00022F3E" w:rsidRPr="00022F3E" w:rsidRDefault="00022F3E" w:rsidP="005B2285">
      <w:pPr>
        <w:spacing w:line="360" w:lineRule="auto"/>
        <w:jc w:val="both"/>
        <w:rPr>
          <w:rFonts w:ascii="Arial" w:eastAsia="Arial" w:hAnsi="Arial" w:cs="Arial"/>
          <w:color w:val="000000" w:themeColor="text1"/>
        </w:rPr>
      </w:pPr>
      <w:r w:rsidRPr="00022F3E">
        <w:rPr>
          <w:rFonts w:ascii="Arial" w:eastAsia="Arial" w:hAnsi="Arial" w:cs="Arial"/>
          <w:color w:val="000000" w:themeColor="text1"/>
        </w:rPr>
        <w:t xml:space="preserve">El análisis de los principales motivos de PQRS evidencia que las mayores inconformidades de los usuarios se concentran en barreras relacionadas con el acceso y la oportunidad en la prestación de los servicios de salud. La principal causa corresponde a la oportunidad en citas de la red contratada, con 53.455 manifestaciones, equivalentes al 66,94% del total analizado, lo que indica que las dificultades para acceder oportunamente a consultas y servicios continúan siendo </w:t>
      </w:r>
      <w:r w:rsidRPr="00022F3E">
        <w:rPr>
          <w:rFonts w:ascii="Arial" w:eastAsia="Arial" w:hAnsi="Arial" w:cs="Arial"/>
          <w:color w:val="000000" w:themeColor="text1"/>
        </w:rPr>
        <w:lastRenderedPageBreak/>
        <w:t>el principal factor que afecta la experiencia del usuario, la continuidad de la atención y la capacidad resolutiva de la red.</w:t>
      </w:r>
    </w:p>
    <w:p w14:paraId="6627310C" w14:textId="77777777" w:rsidR="00022F3E" w:rsidRPr="00022F3E" w:rsidRDefault="00022F3E" w:rsidP="005B2285">
      <w:pPr>
        <w:spacing w:line="360" w:lineRule="auto"/>
        <w:jc w:val="both"/>
        <w:rPr>
          <w:rFonts w:ascii="Arial" w:eastAsia="Arial" w:hAnsi="Arial" w:cs="Arial"/>
          <w:color w:val="000000" w:themeColor="text1"/>
        </w:rPr>
      </w:pPr>
    </w:p>
    <w:p w14:paraId="2C8FFBDB" w14:textId="77777777" w:rsidR="00022F3E" w:rsidRPr="00022F3E" w:rsidRDefault="00022F3E" w:rsidP="005B2285">
      <w:pPr>
        <w:spacing w:line="360" w:lineRule="auto"/>
        <w:jc w:val="both"/>
        <w:rPr>
          <w:rFonts w:ascii="Arial" w:eastAsia="Arial" w:hAnsi="Arial" w:cs="Arial"/>
          <w:color w:val="000000" w:themeColor="text1"/>
        </w:rPr>
      </w:pPr>
      <w:r w:rsidRPr="00022F3E">
        <w:rPr>
          <w:rFonts w:ascii="Arial" w:eastAsia="Arial" w:hAnsi="Arial" w:cs="Arial"/>
          <w:color w:val="000000" w:themeColor="text1"/>
        </w:rPr>
        <w:t>En segundo lugar, el no suministro de medicamentos representa 18.574 manifestaciones, correspondientes al 23,26%, evidenciando afectaciones importantes en la continuidad terapéutica y en la capacidad de respuesta frente a las necesidades farmacológicas de los usuarios. Este hallazgo resulta especialmente relevante si se considera que la falta de entrega oportuna de medicamentos puede generar interrupciones en los tratamientos, pérdida de adherencia, descompensaciones clínicas y mayor demanda de servicios asistenciales.</w:t>
      </w:r>
    </w:p>
    <w:p w14:paraId="54A5FC05" w14:textId="77777777" w:rsidR="00022F3E" w:rsidRPr="00022F3E" w:rsidRDefault="00022F3E" w:rsidP="005B2285">
      <w:pPr>
        <w:spacing w:line="360" w:lineRule="auto"/>
        <w:jc w:val="both"/>
        <w:rPr>
          <w:rFonts w:ascii="Arial" w:eastAsia="Arial" w:hAnsi="Arial" w:cs="Arial"/>
          <w:color w:val="000000" w:themeColor="text1"/>
        </w:rPr>
      </w:pPr>
    </w:p>
    <w:p w14:paraId="2ABDBD2D" w14:textId="77777777" w:rsidR="00022F3E" w:rsidRPr="00022F3E" w:rsidRDefault="00022F3E" w:rsidP="005B2285">
      <w:pPr>
        <w:spacing w:line="360" w:lineRule="auto"/>
        <w:jc w:val="both"/>
        <w:rPr>
          <w:rFonts w:ascii="Arial" w:eastAsia="Arial" w:hAnsi="Arial" w:cs="Arial"/>
          <w:color w:val="000000" w:themeColor="text1"/>
        </w:rPr>
      </w:pPr>
      <w:r w:rsidRPr="00022F3E">
        <w:rPr>
          <w:rFonts w:ascii="Arial" w:eastAsia="Arial" w:hAnsi="Arial" w:cs="Arial"/>
          <w:color w:val="000000" w:themeColor="text1"/>
        </w:rPr>
        <w:t>Por su parte, la demora en la prestación de servicios registró 4.076 PQRS, equivalentes al 5,10%; las inconsistencias en sistemas de información o aseguramiento representaron 2.411 manifestaciones, correspondientes al 3,02%; y la dificultad de accesibilidad administrativa concentró 1.339 PQRS, equivalentes al 1,68%. Estos motivos, aunque tienen una menor participación porcentual frente a las dos primeras causas, evidencian la persistencia de dificultades operativas, administrativas y de gestión de información que pueden incidir en la oportunidad, continuidad y efectividad de la atención.</w:t>
      </w:r>
    </w:p>
    <w:p w14:paraId="784B39CA" w14:textId="77777777" w:rsidR="00022F3E" w:rsidRPr="00022F3E" w:rsidRDefault="00022F3E" w:rsidP="005B2285">
      <w:pPr>
        <w:spacing w:line="360" w:lineRule="auto"/>
        <w:jc w:val="both"/>
        <w:rPr>
          <w:rFonts w:ascii="Arial" w:eastAsia="Arial" w:hAnsi="Arial" w:cs="Arial"/>
          <w:color w:val="000000" w:themeColor="text1"/>
        </w:rPr>
      </w:pPr>
    </w:p>
    <w:p w14:paraId="4C0F3F2A" w14:textId="77777777" w:rsidR="00022F3E" w:rsidRPr="00022F3E" w:rsidRDefault="00022F3E" w:rsidP="005B2285">
      <w:pPr>
        <w:spacing w:line="360" w:lineRule="auto"/>
        <w:jc w:val="both"/>
        <w:rPr>
          <w:rFonts w:ascii="Arial" w:eastAsia="Arial" w:hAnsi="Arial" w:cs="Arial"/>
          <w:color w:val="000000" w:themeColor="text1"/>
        </w:rPr>
      </w:pPr>
      <w:r w:rsidRPr="00022F3E">
        <w:rPr>
          <w:rFonts w:ascii="Arial" w:eastAsia="Arial" w:hAnsi="Arial" w:cs="Arial"/>
          <w:color w:val="000000" w:themeColor="text1"/>
        </w:rPr>
        <w:t>En conjunto, la oportunidad en citas de la red contratada y el no suministro de medicamentos concentran 72.029 manifestaciones, equivalentes al 90,20% del total de los principales motivos de PQRS. Este resultado confirma que las barreras más relevantes reportadas por los usuarios de Capital Salud EPS-S se relacionan con el acceso efectivo a servicios de salud y con la continuidad en la entrega de tecnologías farmacéuticas. En consecuencia, se requieren intervenciones focalizadas en la gestión de agenda, suficiencia y articulación de la red contratada, operación farmacéutica, seguimiento a medicamentos pendientes, depuración de procesos administrativos y fortalecimiento de mecanismos de respuesta oportuna y resolutiva para los usuarios.</w:t>
      </w:r>
    </w:p>
    <w:p w14:paraId="29D530BA" w14:textId="77777777" w:rsidR="009F762E" w:rsidRDefault="009F762E" w:rsidP="005B2285">
      <w:pPr>
        <w:spacing w:line="360" w:lineRule="auto"/>
        <w:jc w:val="both"/>
        <w:rPr>
          <w:rFonts w:ascii="Arial" w:eastAsia="Arial" w:hAnsi="Arial" w:cs="Arial"/>
          <w:color w:val="000000" w:themeColor="text1"/>
        </w:rPr>
      </w:pPr>
    </w:p>
    <w:p w14:paraId="7B566EB8" w14:textId="77777777" w:rsidR="00022F3E" w:rsidRPr="00242DFB" w:rsidRDefault="00022F3E" w:rsidP="005B2285">
      <w:pPr>
        <w:spacing w:line="360" w:lineRule="auto"/>
        <w:jc w:val="both"/>
        <w:rPr>
          <w:rFonts w:ascii="Arial" w:eastAsia="Arial" w:hAnsi="Arial" w:cs="Arial"/>
          <w:color w:val="000000" w:themeColor="text1"/>
        </w:rPr>
      </w:pPr>
    </w:p>
    <w:p w14:paraId="72BB084A" w14:textId="77777777" w:rsidR="009F762E" w:rsidRPr="00242DFB" w:rsidRDefault="00000000" w:rsidP="005B2285">
      <w:pPr>
        <w:pStyle w:val="Ttulo2"/>
        <w:numPr>
          <w:ilvl w:val="1"/>
          <w:numId w:val="7"/>
        </w:numPr>
        <w:spacing w:before="0" w:line="360" w:lineRule="auto"/>
        <w:jc w:val="both"/>
        <w:rPr>
          <w:rFonts w:ascii="Arial" w:eastAsia="Arial" w:hAnsi="Arial" w:cs="Arial"/>
          <w:b/>
          <w:bCs/>
          <w:color w:val="000000" w:themeColor="text1"/>
          <w:sz w:val="24"/>
          <w:szCs w:val="24"/>
        </w:rPr>
      </w:pPr>
      <w:bookmarkStart w:id="49" w:name="OLE_LINK9"/>
      <w:bookmarkStart w:id="50" w:name="__RefHeading___Toc8588_542869190"/>
      <w:bookmarkStart w:id="51" w:name="_Toc230853769"/>
      <w:bookmarkStart w:id="52" w:name="_Toc233574831"/>
      <w:bookmarkEnd w:id="49"/>
      <w:bookmarkEnd w:id="50"/>
      <w:r w:rsidRPr="00242DFB">
        <w:rPr>
          <w:rFonts w:ascii="Arial" w:eastAsia="Arial" w:hAnsi="Arial" w:cs="Arial"/>
          <w:b/>
          <w:bCs/>
          <w:color w:val="000000"/>
          <w:sz w:val="24"/>
          <w:szCs w:val="24"/>
        </w:rPr>
        <w:t>Secretaría Distrital - Gestión de PQRS de Salud 2025 en CAPITAL SALUD</w:t>
      </w:r>
      <w:bookmarkEnd w:id="51"/>
      <w:bookmarkEnd w:id="52"/>
    </w:p>
    <w:p w14:paraId="0C39EBFB" w14:textId="77777777" w:rsidR="009F762E" w:rsidRPr="00242DFB" w:rsidRDefault="009F762E" w:rsidP="005B2285">
      <w:pPr>
        <w:spacing w:line="360" w:lineRule="auto"/>
        <w:jc w:val="both"/>
        <w:rPr>
          <w:rFonts w:ascii="Arial" w:hAnsi="Arial" w:cs="Arial"/>
          <w:color w:val="000000" w:themeColor="text1"/>
        </w:rPr>
      </w:pPr>
    </w:p>
    <w:p w14:paraId="288442E2" w14:textId="77777777" w:rsidR="00962017" w:rsidRPr="00242DFB" w:rsidRDefault="00962017" w:rsidP="005B2285">
      <w:pPr>
        <w:spacing w:line="360" w:lineRule="auto"/>
        <w:jc w:val="both"/>
        <w:rPr>
          <w:rFonts w:ascii="Arial" w:hAnsi="Arial" w:cs="Arial"/>
          <w:color w:val="000000" w:themeColor="text1"/>
        </w:rPr>
      </w:pPr>
      <w:r w:rsidRPr="00962017">
        <w:rPr>
          <w:rFonts w:ascii="Arial" w:hAnsi="Arial" w:cs="Arial"/>
          <w:color w:val="000000" w:themeColor="text1"/>
        </w:rPr>
        <w:t>Durante la vigencia 2025, la Subdirección de Garantía del Aseguramiento tramitó un total de 8.600 PQRS correspondientes a usuarios afiliados a Capital Salud en Bogotá. De este total, 306 manifestaciones correspondieron a usuarios del régimen contributivo, equivalentes al 3,56%, mientras que 8.294 PQRS correspondieron al régimen subsidiado, representando el 96,44% del total de peticiones gestionadas.</w:t>
      </w:r>
    </w:p>
    <w:p w14:paraId="53329D8C" w14:textId="77777777" w:rsidR="00962017" w:rsidRPr="00962017" w:rsidRDefault="00962017" w:rsidP="005B2285">
      <w:pPr>
        <w:spacing w:line="360" w:lineRule="auto"/>
        <w:jc w:val="both"/>
        <w:rPr>
          <w:rFonts w:ascii="Arial" w:hAnsi="Arial" w:cs="Arial"/>
          <w:color w:val="000000" w:themeColor="text1"/>
        </w:rPr>
      </w:pPr>
    </w:p>
    <w:p w14:paraId="7506934B" w14:textId="77777777" w:rsidR="00962017" w:rsidRPr="00242DFB" w:rsidRDefault="00962017" w:rsidP="005B2285">
      <w:pPr>
        <w:spacing w:line="360" w:lineRule="auto"/>
        <w:jc w:val="both"/>
        <w:rPr>
          <w:rFonts w:ascii="Arial" w:hAnsi="Arial" w:cs="Arial"/>
          <w:color w:val="000000" w:themeColor="text1"/>
        </w:rPr>
      </w:pPr>
      <w:r w:rsidRPr="00962017">
        <w:rPr>
          <w:rFonts w:ascii="Arial" w:hAnsi="Arial" w:cs="Arial"/>
          <w:color w:val="000000" w:themeColor="text1"/>
        </w:rPr>
        <w:t>Este comportamiento evidencia una concentración marcada de las manifestaciones ciudadanas en el régimen subsidiado, lo cual guarda relación con la composición poblacional de Capital Salud en el Distrito Capital, cuya mayor proporción de afiliados pertenece a dicho régimen. En términos operativos, esta concentración implica que las barreras de acceso, las dificultades administrativas y los problemas relacionados con oportunidad, continuidad y entrega de servicios afectan principalmente a población con mayores condiciones de vulnerabilidad social y económica, lo que incrementa la relevancia del seguimiento institucional por parte de la Secretaría Distrital de Salud.</w:t>
      </w:r>
    </w:p>
    <w:p w14:paraId="124EC2E1" w14:textId="77777777" w:rsidR="00962017" w:rsidRPr="00962017" w:rsidRDefault="00962017" w:rsidP="005B2285">
      <w:pPr>
        <w:spacing w:line="360" w:lineRule="auto"/>
        <w:jc w:val="both"/>
        <w:rPr>
          <w:rFonts w:ascii="Arial" w:hAnsi="Arial" w:cs="Arial"/>
          <w:color w:val="000000" w:themeColor="text1"/>
        </w:rPr>
      </w:pPr>
    </w:p>
    <w:p w14:paraId="184D911F" w14:textId="77777777" w:rsidR="00962017" w:rsidRPr="00242DFB" w:rsidRDefault="00962017" w:rsidP="005B2285">
      <w:pPr>
        <w:spacing w:line="360" w:lineRule="auto"/>
        <w:jc w:val="both"/>
        <w:rPr>
          <w:rFonts w:ascii="Arial" w:hAnsi="Arial" w:cs="Arial"/>
          <w:color w:val="000000" w:themeColor="text1"/>
        </w:rPr>
      </w:pPr>
      <w:r w:rsidRPr="00962017">
        <w:rPr>
          <w:rFonts w:ascii="Arial" w:hAnsi="Arial" w:cs="Arial"/>
          <w:color w:val="000000" w:themeColor="text1"/>
        </w:rPr>
        <w:t>Al analizar la tasa de PQRS por cada 100.000 afiliados, se observa que el régimen contributivo registró una tasa de 496,68 PQRS por cada 100.000 afiliados, mientras que el régimen subsidiado presentó una tasa de 1.011,03 PQRS por cada 100.000 afiliados. Lo anterior evidencia que, además de concentrar el mayor volumen absoluto de manifestaciones, el régimen subsidiado también presenta una mayor frecuencia relativa de PQRS frente a su población afiliada, superando en más del doble la tasa observada en el régimen contributivo.</w:t>
      </w:r>
    </w:p>
    <w:p w14:paraId="256AD80C" w14:textId="77777777" w:rsidR="00962017" w:rsidRPr="00962017" w:rsidRDefault="00962017" w:rsidP="005B2285">
      <w:pPr>
        <w:spacing w:line="360" w:lineRule="auto"/>
        <w:jc w:val="both"/>
        <w:rPr>
          <w:rFonts w:ascii="Arial" w:hAnsi="Arial" w:cs="Arial"/>
          <w:color w:val="000000" w:themeColor="text1"/>
        </w:rPr>
      </w:pPr>
    </w:p>
    <w:p w14:paraId="72C502E3" w14:textId="77777777" w:rsidR="00962017" w:rsidRPr="00242DFB" w:rsidRDefault="00962017" w:rsidP="005B2285">
      <w:pPr>
        <w:spacing w:line="360" w:lineRule="auto"/>
        <w:jc w:val="both"/>
        <w:rPr>
          <w:rFonts w:ascii="Arial" w:hAnsi="Arial" w:cs="Arial"/>
          <w:color w:val="000000" w:themeColor="text1"/>
        </w:rPr>
      </w:pPr>
      <w:r w:rsidRPr="00962017">
        <w:rPr>
          <w:rFonts w:ascii="Arial" w:hAnsi="Arial" w:cs="Arial"/>
          <w:color w:val="000000" w:themeColor="text1"/>
        </w:rPr>
        <w:t xml:space="preserve">La tasa global para Capital Salud fue de 975,10 PQRS por cada 100.000 afiliados, calculada sobre un total de 881.958 afiliados. Este resultado constituye una señal relevante para el seguimiento del aseguramiento en Bogotá, en la medida en que </w:t>
      </w:r>
      <w:r w:rsidRPr="00962017">
        <w:rPr>
          <w:rFonts w:ascii="Arial" w:hAnsi="Arial" w:cs="Arial"/>
          <w:color w:val="000000" w:themeColor="text1"/>
        </w:rPr>
        <w:lastRenderedPageBreak/>
        <w:t>refleja una presión importante sobre los canales de atención institucional y permite identificar posibles barreras persistentes en el acceso efectivo a los servicios de salud.</w:t>
      </w:r>
    </w:p>
    <w:p w14:paraId="7E420E6F" w14:textId="6E15898E" w:rsidR="00D83CAF" w:rsidRPr="00242DFB" w:rsidRDefault="00D83CAF" w:rsidP="005B2285">
      <w:pPr>
        <w:pStyle w:val="Descripcin"/>
        <w:keepNext/>
        <w:spacing w:after="0" w:line="360" w:lineRule="auto"/>
        <w:jc w:val="center"/>
        <w:rPr>
          <w:rFonts w:ascii="Arial" w:hAnsi="Arial" w:cs="Arial"/>
          <w:color w:val="000000" w:themeColor="text1"/>
          <w:sz w:val="24"/>
          <w:szCs w:val="24"/>
        </w:rPr>
      </w:pPr>
      <w:bookmarkStart w:id="53" w:name="_Toc233574870"/>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10</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xml:space="preserve">. </w:t>
      </w:r>
      <w:r w:rsidR="00B63DC5" w:rsidRPr="00242DFB">
        <w:rPr>
          <w:rFonts w:ascii="Arial" w:hAnsi="Arial" w:cs="Arial"/>
          <w:color w:val="000000" w:themeColor="text1"/>
          <w:sz w:val="24"/>
          <w:szCs w:val="24"/>
        </w:rPr>
        <w:t>Total,</w:t>
      </w:r>
      <w:r w:rsidRPr="00242DFB">
        <w:rPr>
          <w:rFonts w:ascii="Arial" w:hAnsi="Arial" w:cs="Arial"/>
          <w:color w:val="000000" w:themeColor="text1"/>
          <w:sz w:val="24"/>
          <w:szCs w:val="24"/>
        </w:rPr>
        <w:t xml:space="preserve"> de PQRS año 2025 Capital Salud EPS-S</w:t>
      </w:r>
      <w:bookmarkEnd w:id="53"/>
    </w:p>
    <w:tbl>
      <w:tblPr>
        <w:tblStyle w:val="Tablaconcuadrcula"/>
        <w:tblW w:w="9238" w:type="dxa"/>
        <w:jc w:val="center"/>
        <w:tblLayout w:type="fixed"/>
        <w:tblLook w:val="04A0" w:firstRow="1" w:lastRow="0" w:firstColumn="1" w:lastColumn="0" w:noHBand="0" w:noVBand="1"/>
      </w:tblPr>
      <w:tblGrid>
        <w:gridCol w:w="2796"/>
        <w:gridCol w:w="1677"/>
        <w:gridCol w:w="1448"/>
        <w:gridCol w:w="1640"/>
        <w:gridCol w:w="1677"/>
      </w:tblGrid>
      <w:tr w:rsidR="009F762E" w:rsidRPr="00242DFB" w14:paraId="0A692510" w14:textId="77777777" w:rsidTr="00D83CAF">
        <w:trPr>
          <w:cantSplit/>
          <w:trHeight w:val="1098"/>
          <w:jc w:val="center"/>
        </w:trPr>
        <w:tc>
          <w:tcPr>
            <w:tcW w:w="2796" w:type="dxa"/>
          </w:tcPr>
          <w:p w14:paraId="54D8E29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ENTIDAD-EPS</w:t>
            </w:r>
          </w:p>
        </w:tc>
        <w:tc>
          <w:tcPr>
            <w:tcW w:w="1677" w:type="dxa"/>
          </w:tcPr>
          <w:p w14:paraId="1F789F3B" w14:textId="74830B5E" w:rsidR="009F762E" w:rsidRPr="00242DFB" w:rsidRDefault="00D83CAF" w:rsidP="005B2285">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TOTAL,</w:t>
            </w:r>
            <w:r w:rsidR="00000000" w:rsidRPr="00242DFB">
              <w:rPr>
                <w:rFonts w:ascii="Arial" w:eastAsia="Calibri" w:hAnsi="Arial" w:cs="Arial"/>
                <w:b/>
                <w:bCs/>
                <w:color w:val="000000" w:themeColor="text1"/>
                <w:kern w:val="2"/>
              </w:rPr>
              <w:t xml:space="preserve"> PQRD</w:t>
            </w:r>
          </w:p>
        </w:tc>
        <w:tc>
          <w:tcPr>
            <w:tcW w:w="1448" w:type="dxa"/>
          </w:tcPr>
          <w:p w14:paraId="71816A01"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 PQRS</w:t>
            </w:r>
          </w:p>
        </w:tc>
        <w:tc>
          <w:tcPr>
            <w:tcW w:w="1640" w:type="dxa"/>
          </w:tcPr>
          <w:p w14:paraId="0CCCA4D3" w14:textId="761984C1" w:rsidR="009F762E" w:rsidRPr="00242DFB" w:rsidRDefault="00D83CAF" w:rsidP="005B2285">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TOTAL,</w:t>
            </w:r>
            <w:r w:rsidR="00000000" w:rsidRPr="00242DFB">
              <w:rPr>
                <w:rFonts w:ascii="Arial" w:eastAsia="Calibri" w:hAnsi="Arial" w:cs="Arial"/>
                <w:b/>
                <w:bCs/>
                <w:color w:val="000000" w:themeColor="text1"/>
                <w:kern w:val="2"/>
              </w:rPr>
              <w:t xml:space="preserve"> AFILIADOS</w:t>
            </w:r>
          </w:p>
        </w:tc>
        <w:tc>
          <w:tcPr>
            <w:tcW w:w="1677" w:type="dxa"/>
          </w:tcPr>
          <w:p w14:paraId="21DBDAE4"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TASA X 100.000</w:t>
            </w:r>
          </w:p>
        </w:tc>
      </w:tr>
      <w:tr w:rsidR="009F762E" w:rsidRPr="00242DFB" w14:paraId="61E78B0D" w14:textId="77777777" w:rsidTr="00D83CAF">
        <w:trPr>
          <w:cantSplit/>
          <w:trHeight w:val="477"/>
          <w:jc w:val="center"/>
        </w:trPr>
        <w:tc>
          <w:tcPr>
            <w:tcW w:w="2796" w:type="dxa"/>
          </w:tcPr>
          <w:p w14:paraId="7EBF8E2E" w14:textId="77777777" w:rsidR="009F762E" w:rsidRPr="00242DFB" w:rsidRDefault="00000000" w:rsidP="005B2285">
            <w:pPr>
              <w:spacing w:line="360" w:lineRule="auto"/>
              <w:rPr>
                <w:rFonts w:ascii="Arial" w:hAnsi="Arial" w:cs="Arial"/>
                <w:color w:val="000000" w:themeColor="text1"/>
              </w:rPr>
            </w:pPr>
            <w:r w:rsidRPr="00242DFB">
              <w:rPr>
                <w:rFonts w:ascii="Arial" w:eastAsia="Calibri" w:hAnsi="Arial" w:cs="Arial"/>
                <w:color w:val="000000" w:themeColor="text1"/>
                <w:kern w:val="2"/>
              </w:rPr>
              <w:t>Capital Salud EPS-C</w:t>
            </w:r>
          </w:p>
        </w:tc>
        <w:tc>
          <w:tcPr>
            <w:tcW w:w="1677" w:type="dxa"/>
          </w:tcPr>
          <w:p w14:paraId="15BE83D5"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306</w:t>
            </w:r>
          </w:p>
        </w:tc>
        <w:tc>
          <w:tcPr>
            <w:tcW w:w="1448" w:type="dxa"/>
          </w:tcPr>
          <w:p w14:paraId="48D44571" w14:textId="59183C73" w:rsidR="009F762E" w:rsidRPr="00242DFB" w:rsidRDefault="00897A91" w:rsidP="005B2285">
            <w:pPr>
              <w:spacing w:line="360" w:lineRule="auto"/>
              <w:jc w:val="center"/>
              <w:rPr>
                <w:rFonts w:ascii="Arial" w:hAnsi="Arial" w:cs="Arial"/>
                <w:color w:val="000000" w:themeColor="text1"/>
              </w:rPr>
            </w:pPr>
            <w:r>
              <w:rPr>
                <w:rFonts w:ascii="Arial" w:eastAsia="Calibri" w:hAnsi="Arial" w:cs="Arial"/>
                <w:color w:val="000000" w:themeColor="text1"/>
                <w:kern w:val="2"/>
              </w:rPr>
              <w:t>3,56%</w:t>
            </w:r>
          </w:p>
        </w:tc>
        <w:tc>
          <w:tcPr>
            <w:tcW w:w="1640" w:type="dxa"/>
          </w:tcPr>
          <w:p w14:paraId="1278C955"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61.609</w:t>
            </w:r>
          </w:p>
        </w:tc>
        <w:tc>
          <w:tcPr>
            <w:tcW w:w="1677" w:type="dxa"/>
          </w:tcPr>
          <w:p w14:paraId="3ED08E15"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496,68</w:t>
            </w:r>
          </w:p>
        </w:tc>
      </w:tr>
      <w:tr w:rsidR="009F762E" w:rsidRPr="00242DFB" w14:paraId="57F5CB7E" w14:textId="77777777" w:rsidTr="00D83CAF">
        <w:trPr>
          <w:cantSplit/>
          <w:trHeight w:val="652"/>
          <w:jc w:val="center"/>
        </w:trPr>
        <w:tc>
          <w:tcPr>
            <w:tcW w:w="2796" w:type="dxa"/>
          </w:tcPr>
          <w:p w14:paraId="0ACE603F" w14:textId="77777777" w:rsidR="009F762E" w:rsidRPr="00242DFB" w:rsidRDefault="00000000" w:rsidP="005B2285">
            <w:pPr>
              <w:spacing w:line="360" w:lineRule="auto"/>
              <w:rPr>
                <w:rFonts w:ascii="Arial" w:hAnsi="Arial" w:cs="Arial"/>
                <w:color w:val="000000" w:themeColor="text1"/>
              </w:rPr>
            </w:pPr>
            <w:r w:rsidRPr="00242DFB">
              <w:rPr>
                <w:rFonts w:ascii="Arial" w:eastAsia="Calibri" w:hAnsi="Arial" w:cs="Arial"/>
                <w:color w:val="000000" w:themeColor="text1"/>
                <w:kern w:val="2"/>
              </w:rPr>
              <w:t>Capital Salud EPS-S</w:t>
            </w:r>
          </w:p>
        </w:tc>
        <w:tc>
          <w:tcPr>
            <w:tcW w:w="1677" w:type="dxa"/>
          </w:tcPr>
          <w:p w14:paraId="2A4F014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8294</w:t>
            </w:r>
          </w:p>
        </w:tc>
        <w:tc>
          <w:tcPr>
            <w:tcW w:w="1448" w:type="dxa"/>
          </w:tcPr>
          <w:p w14:paraId="33F15AC3" w14:textId="6F1AF8F9"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96</w:t>
            </w:r>
            <w:r w:rsidR="00897A91">
              <w:rPr>
                <w:rFonts w:ascii="Arial" w:eastAsia="Calibri" w:hAnsi="Arial" w:cs="Arial"/>
                <w:color w:val="000000" w:themeColor="text1"/>
                <w:kern w:val="2"/>
              </w:rPr>
              <w:t>,44%</w:t>
            </w:r>
          </w:p>
        </w:tc>
        <w:tc>
          <w:tcPr>
            <w:tcW w:w="1640" w:type="dxa"/>
          </w:tcPr>
          <w:p w14:paraId="4D33AD6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820.349</w:t>
            </w:r>
          </w:p>
        </w:tc>
        <w:tc>
          <w:tcPr>
            <w:tcW w:w="1677" w:type="dxa"/>
          </w:tcPr>
          <w:p w14:paraId="528F211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color w:val="000000" w:themeColor="text1"/>
                <w:kern w:val="2"/>
              </w:rPr>
              <w:t>1.011,03</w:t>
            </w:r>
          </w:p>
        </w:tc>
      </w:tr>
      <w:tr w:rsidR="009F762E" w:rsidRPr="00242DFB" w14:paraId="032F1ABC" w14:textId="77777777" w:rsidTr="00D83CAF">
        <w:trPr>
          <w:cantSplit/>
          <w:trHeight w:val="509"/>
          <w:jc w:val="center"/>
        </w:trPr>
        <w:tc>
          <w:tcPr>
            <w:tcW w:w="2796" w:type="dxa"/>
          </w:tcPr>
          <w:p w14:paraId="0B8C93F1" w14:textId="42C79458" w:rsidR="009F762E" w:rsidRPr="00242DFB" w:rsidRDefault="00B63DC5" w:rsidP="005B2285">
            <w:pPr>
              <w:spacing w:line="360" w:lineRule="auto"/>
              <w:rPr>
                <w:rFonts w:ascii="Arial" w:hAnsi="Arial" w:cs="Arial"/>
                <w:color w:val="000000" w:themeColor="text1"/>
              </w:rPr>
            </w:pPr>
            <w:r w:rsidRPr="00242DFB">
              <w:rPr>
                <w:rFonts w:ascii="Arial" w:eastAsia="Calibri" w:hAnsi="Arial" w:cs="Arial"/>
                <w:b/>
                <w:bCs/>
                <w:color w:val="000000" w:themeColor="text1"/>
                <w:kern w:val="2"/>
              </w:rPr>
              <w:t>Total,</w:t>
            </w:r>
            <w:r w:rsidR="00000000" w:rsidRPr="00242DFB">
              <w:rPr>
                <w:rFonts w:ascii="Arial" w:eastAsia="Calibri" w:hAnsi="Arial" w:cs="Arial"/>
                <w:b/>
                <w:bCs/>
                <w:color w:val="000000" w:themeColor="text1"/>
                <w:kern w:val="2"/>
              </w:rPr>
              <w:t xml:space="preserve"> general</w:t>
            </w:r>
          </w:p>
        </w:tc>
        <w:tc>
          <w:tcPr>
            <w:tcW w:w="1677" w:type="dxa"/>
          </w:tcPr>
          <w:p w14:paraId="2B143EFF"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8600</w:t>
            </w:r>
          </w:p>
        </w:tc>
        <w:tc>
          <w:tcPr>
            <w:tcW w:w="1448" w:type="dxa"/>
          </w:tcPr>
          <w:p w14:paraId="42C18A30" w14:textId="425648BD"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100</w:t>
            </w:r>
            <w:r w:rsidR="00F30AB0">
              <w:rPr>
                <w:rFonts w:ascii="Arial" w:eastAsia="Calibri" w:hAnsi="Arial" w:cs="Arial"/>
                <w:b/>
                <w:bCs/>
                <w:color w:val="000000" w:themeColor="text1"/>
                <w:kern w:val="2"/>
              </w:rPr>
              <w:t>%</w:t>
            </w:r>
          </w:p>
        </w:tc>
        <w:tc>
          <w:tcPr>
            <w:tcW w:w="1640" w:type="dxa"/>
          </w:tcPr>
          <w:p w14:paraId="15DF2D34"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881.958</w:t>
            </w:r>
          </w:p>
        </w:tc>
        <w:tc>
          <w:tcPr>
            <w:tcW w:w="1677" w:type="dxa"/>
          </w:tcPr>
          <w:p w14:paraId="2DD5EE9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b/>
                <w:bCs/>
                <w:color w:val="000000" w:themeColor="text1"/>
                <w:kern w:val="2"/>
              </w:rPr>
              <w:t>975,10</w:t>
            </w:r>
          </w:p>
        </w:tc>
      </w:tr>
    </w:tbl>
    <w:p w14:paraId="412145C9" w14:textId="77777777" w:rsidR="009F762E" w:rsidRPr="00242DFB" w:rsidRDefault="00000000" w:rsidP="005B2285">
      <w:pPr>
        <w:spacing w:line="360" w:lineRule="auto"/>
        <w:jc w:val="both"/>
        <w:rPr>
          <w:rFonts w:ascii="Arial" w:hAnsi="Arial" w:cs="Arial"/>
          <w:color w:val="000000" w:themeColor="text1"/>
          <w:sz w:val="16"/>
          <w:szCs w:val="16"/>
        </w:rPr>
      </w:pPr>
      <w:r w:rsidRPr="00242DFB">
        <w:rPr>
          <w:rFonts w:ascii="Arial" w:eastAsia="Arial" w:hAnsi="Arial" w:cs="Arial"/>
          <w:iCs/>
          <w:color w:val="000000"/>
          <w:sz w:val="16"/>
          <w:szCs w:val="16"/>
        </w:rPr>
        <w:t>Fuente: Base de datos Bogotá Te Escucha - Dirección de Aseguramiento y Garantía del Derecho a la Salud-2026.- Sistema de información para el Monitoreo del Acceso-SIDMA</w:t>
      </w:r>
    </w:p>
    <w:p w14:paraId="3F3FD084" w14:textId="77777777" w:rsidR="00D83CAF" w:rsidRPr="00242DFB" w:rsidRDefault="00D83CAF" w:rsidP="005B2285">
      <w:pPr>
        <w:spacing w:line="360" w:lineRule="auto"/>
        <w:jc w:val="both"/>
        <w:rPr>
          <w:rFonts w:ascii="Arial" w:eastAsia="Arial" w:hAnsi="Arial" w:cs="Arial"/>
          <w:color w:val="000000"/>
        </w:rPr>
      </w:pPr>
    </w:p>
    <w:p w14:paraId="0714D7D6" w14:textId="2104561C" w:rsidR="009F762E" w:rsidRPr="00242DFB" w:rsidRDefault="00962017" w:rsidP="005B2285">
      <w:pPr>
        <w:spacing w:line="360" w:lineRule="auto"/>
        <w:jc w:val="both"/>
        <w:rPr>
          <w:rFonts w:ascii="Arial" w:hAnsi="Arial" w:cs="Arial"/>
          <w:color w:val="000000" w:themeColor="text1"/>
        </w:rPr>
      </w:pPr>
      <w:r w:rsidRPr="00962017">
        <w:rPr>
          <w:rFonts w:ascii="Arial" w:hAnsi="Arial" w:cs="Arial"/>
          <w:color w:val="000000" w:themeColor="text1"/>
        </w:rPr>
        <w:t>En consecuencia, el análisis de las PQRS tramitadas por la Subdirección de Garantía del Aseguramiento permite concluir que las principales alertas deben focalizarse en el régimen subsidiado, no solo por su peso poblacional dentro de Capital Salud, sino por la mayor tasa de manifestaciones registradas. Este hallazgo orienta la necesidad de fortalecer las acciones de seguimiento, respuesta oportuna, gestión resolutiva de casos y articulación con la red prestadora, especialmente en los componentes de oportunidad de servicios, entrega de medicamentos, accesibilidad administrativa y continuidad de la atención.</w:t>
      </w:r>
      <w:r w:rsidR="00000000" w:rsidRPr="00242DFB">
        <w:rPr>
          <w:rFonts w:ascii="Arial" w:eastAsia="Calibri" w:hAnsi="Arial" w:cs="Arial"/>
          <w:color w:val="000000"/>
        </w:rPr>
        <w:t xml:space="preserve"> </w:t>
      </w:r>
    </w:p>
    <w:p w14:paraId="7A191CBD" w14:textId="023ABDDF" w:rsidR="009F762E" w:rsidRPr="00242DFB" w:rsidRDefault="00000000" w:rsidP="005B2285">
      <w:pPr>
        <w:spacing w:line="360" w:lineRule="auto"/>
        <w:jc w:val="center"/>
        <w:rPr>
          <w:rFonts w:ascii="Arial" w:hAnsi="Arial" w:cs="Arial"/>
          <w:color w:val="000000" w:themeColor="text1"/>
        </w:rPr>
      </w:pPr>
      <w:r w:rsidRPr="00242DFB">
        <w:rPr>
          <w:rFonts w:ascii="Arial" w:eastAsia="Calibri" w:hAnsi="Arial" w:cs="Arial"/>
          <w:b/>
          <w:bCs/>
          <w:color w:val="000000"/>
        </w:rPr>
        <w:t xml:space="preserve"> </w:t>
      </w:r>
    </w:p>
    <w:p w14:paraId="30706E88" w14:textId="4E65B965" w:rsidR="009F762E" w:rsidRPr="00242DFB" w:rsidRDefault="00A97ED2" w:rsidP="005B2285">
      <w:pPr>
        <w:pStyle w:val="Ttulo2"/>
        <w:numPr>
          <w:ilvl w:val="1"/>
          <w:numId w:val="7"/>
        </w:numPr>
        <w:spacing w:before="0" w:line="360" w:lineRule="auto"/>
        <w:jc w:val="both"/>
        <w:rPr>
          <w:rFonts w:ascii="Arial" w:eastAsia="Arial" w:hAnsi="Arial" w:cs="Arial"/>
          <w:b/>
          <w:bCs/>
          <w:color w:val="000000"/>
          <w:sz w:val="24"/>
          <w:szCs w:val="24"/>
        </w:rPr>
      </w:pPr>
      <w:r>
        <w:rPr>
          <w:rFonts w:ascii="Arial" w:eastAsia="Arial" w:hAnsi="Arial" w:cs="Arial"/>
          <w:b/>
          <w:bCs/>
          <w:color w:val="000000"/>
          <w:sz w:val="24"/>
          <w:szCs w:val="24"/>
        </w:rPr>
        <w:t xml:space="preserve"> </w:t>
      </w:r>
      <w:bookmarkStart w:id="54" w:name="_Toc233574832"/>
      <w:r w:rsidRPr="00242DFB">
        <w:rPr>
          <w:rFonts w:ascii="Arial" w:eastAsia="Arial" w:hAnsi="Arial" w:cs="Arial"/>
          <w:b/>
          <w:bCs/>
          <w:color w:val="000000"/>
          <w:sz w:val="24"/>
          <w:szCs w:val="24"/>
        </w:rPr>
        <w:t>Oportunidad de respuesta Capital Salud EPS año 2025</w:t>
      </w:r>
      <w:bookmarkEnd w:id="54"/>
    </w:p>
    <w:p w14:paraId="00C02C73" w14:textId="77777777" w:rsidR="00962017" w:rsidRPr="00242DFB" w:rsidRDefault="00962017" w:rsidP="005B2285">
      <w:pPr>
        <w:spacing w:line="360" w:lineRule="auto"/>
        <w:jc w:val="both"/>
        <w:rPr>
          <w:rFonts w:ascii="Arial" w:eastAsia="Arial" w:hAnsi="Arial" w:cs="Arial"/>
          <w:color w:val="000000"/>
        </w:rPr>
      </w:pPr>
    </w:p>
    <w:p w14:paraId="08CD321F" w14:textId="77777777" w:rsidR="0073474D" w:rsidRPr="00242DFB" w:rsidRDefault="0073474D" w:rsidP="005B2285">
      <w:pPr>
        <w:spacing w:line="360" w:lineRule="auto"/>
        <w:jc w:val="both"/>
        <w:rPr>
          <w:rFonts w:ascii="Arial" w:eastAsia="Arial" w:hAnsi="Arial" w:cs="Arial"/>
          <w:color w:val="000000"/>
        </w:rPr>
      </w:pPr>
      <w:r w:rsidRPr="0073474D">
        <w:rPr>
          <w:rFonts w:ascii="Arial" w:eastAsia="Arial" w:hAnsi="Arial" w:cs="Arial"/>
          <w:color w:val="000000"/>
        </w:rPr>
        <w:t>Para la vigencia 2025, el promedio de respuesta de fondo a las 8.600 PQRS trasladadas a Capital Salud EPS-S fue de 21 días hábiles, superando el término general de 15 días hábiles previsto para la atención de peticiones generales, de acuerdo con la normativa aplicable. Este resultado evidencia una brecha de oportunidad en la gestión de respuestas, en la medida en que el tiempo promedio observado excede en aproximadamente 6 días hábiles el plazo de referencia.</w:t>
      </w:r>
    </w:p>
    <w:p w14:paraId="32698A68" w14:textId="77777777" w:rsidR="00927DBD" w:rsidRPr="0073474D" w:rsidRDefault="00927DBD" w:rsidP="005B2285">
      <w:pPr>
        <w:spacing w:line="360" w:lineRule="auto"/>
        <w:jc w:val="both"/>
        <w:rPr>
          <w:rFonts w:ascii="Arial" w:eastAsia="Arial" w:hAnsi="Arial" w:cs="Arial"/>
          <w:color w:val="000000"/>
        </w:rPr>
      </w:pPr>
    </w:p>
    <w:p w14:paraId="43088A15" w14:textId="77777777" w:rsidR="0073474D" w:rsidRPr="00242DFB" w:rsidRDefault="0073474D" w:rsidP="005B2285">
      <w:pPr>
        <w:spacing w:line="360" w:lineRule="auto"/>
        <w:jc w:val="both"/>
        <w:rPr>
          <w:rFonts w:ascii="Arial" w:eastAsia="Arial" w:hAnsi="Arial" w:cs="Arial"/>
          <w:color w:val="000000"/>
        </w:rPr>
      </w:pPr>
      <w:r w:rsidRPr="0073474D">
        <w:rPr>
          <w:rFonts w:ascii="Arial" w:eastAsia="Arial" w:hAnsi="Arial" w:cs="Arial"/>
          <w:color w:val="000000"/>
        </w:rPr>
        <w:lastRenderedPageBreak/>
        <w:t>Desde una lectura técnica, este comportamiento refleja dificultades en la capacidad de respuesta institucional para resolver de manera oportuna las manifestaciones ciudadanas trasladadas por la Subdirección de Garantía del Aseguramiento. Aunque el indicador corresponde a un promedio general y no permite identificar por sí solo la totalidad de casos vencidos, sí constituye una señal de alerta frente a la oportunidad del trámite, especialmente si se considera que las PQRS suelen estar asociadas a barreras de acceso, demoras en la asignación de servicios, dificultades en la entrega de medicamentos, autorizaciones, continuidad de tratamientos o problemas administrativos que afectan directamente la experiencia del usuario.</w:t>
      </w:r>
    </w:p>
    <w:p w14:paraId="753A9EFE" w14:textId="77777777" w:rsidR="0073474D" w:rsidRPr="0073474D" w:rsidRDefault="0073474D" w:rsidP="005B2285">
      <w:pPr>
        <w:spacing w:line="360" w:lineRule="auto"/>
        <w:jc w:val="both"/>
        <w:rPr>
          <w:rFonts w:ascii="Arial" w:eastAsia="Arial" w:hAnsi="Arial" w:cs="Arial"/>
          <w:color w:val="000000"/>
        </w:rPr>
      </w:pPr>
    </w:p>
    <w:p w14:paraId="39A611A9" w14:textId="77777777" w:rsidR="0073474D" w:rsidRPr="00242DFB" w:rsidRDefault="0073474D" w:rsidP="005B2285">
      <w:pPr>
        <w:spacing w:line="360" w:lineRule="auto"/>
        <w:jc w:val="both"/>
        <w:rPr>
          <w:rFonts w:ascii="Arial" w:eastAsia="Arial" w:hAnsi="Arial" w:cs="Arial"/>
          <w:color w:val="000000"/>
        </w:rPr>
      </w:pPr>
      <w:r w:rsidRPr="0073474D">
        <w:rPr>
          <w:rFonts w:ascii="Arial" w:eastAsia="Arial" w:hAnsi="Arial" w:cs="Arial"/>
          <w:color w:val="000000"/>
        </w:rPr>
        <w:t>El incumplimiento del tiempo promedio esperado puede tener efectos relevantes sobre la garantía del derecho fundamental a la salud, dado que una respuesta tardía puede prolongar la barrera que originó la manifestación, incrementar la reiteración de solicitudes por el mismo hecho y generar mayor presión sobre los canales institucionales de atención. Asimismo, la inoportunidad en la respuesta puede favorecer el uso de mecanismos alternativos de reclamación por parte de los usuarios, tales como nuevas PQRS, quejas ante entes de control o acciones constitucionales, especialmente cuando la situación reportada compromete el acceso efectivo a servicios de salud.</w:t>
      </w:r>
    </w:p>
    <w:p w14:paraId="23DFFB25" w14:textId="77777777" w:rsidR="0073474D" w:rsidRPr="0073474D" w:rsidRDefault="0073474D" w:rsidP="005B2285">
      <w:pPr>
        <w:spacing w:line="360" w:lineRule="auto"/>
        <w:jc w:val="both"/>
        <w:rPr>
          <w:rFonts w:ascii="Arial" w:eastAsia="Arial" w:hAnsi="Arial" w:cs="Arial"/>
          <w:color w:val="000000"/>
        </w:rPr>
      </w:pPr>
    </w:p>
    <w:p w14:paraId="3300458E" w14:textId="77777777" w:rsidR="0073474D" w:rsidRPr="00242DFB" w:rsidRDefault="0073474D" w:rsidP="005B2285">
      <w:pPr>
        <w:spacing w:line="360" w:lineRule="auto"/>
        <w:jc w:val="both"/>
        <w:rPr>
          <w:rFonts w:ascii="Arial" w:eastAsia="Arial" w:hAnsi="Arial" w:cs="Arial"/>
          <w:color w:val="000000"/>
        </w:rPr>
      </w:pPr>
      <w:r w:rsidRPr="0073474D">
        <w:rPr>
          <w:rFonts w:ascii="Arial" w:eastAsia="Arial" w:hAnsi="Arial" w:cs="Arial"/>
          <w:color w:val="000000"/>
        </w:rPr>
        <w:t>En este sentido, el promedio de 21 días hábiles no debe interpretarse únicamente como un rezago administrativo, sino como un indicador operativo asociado a la capacidad de articulación entre la EPS, su red prestadora y los procesos internos responsables de emitir respuestas completas, claras, verificables y resolutivas. La generación de respuestas de fondo depende, en muchos casos, de la oportunidad con la que se obtengan soportes clínicos, administrativos y contractuales por parte de los prestadores, así como de la capacidad de la EPS para gestionar, escalar y cerrar efectivamente cada caso.</w:t>
      </w:r>
    </w:p>
    <w:p w14:paraId="119F34E5" w14:textId="77777777" w:rsidR="0073474D" w:rsidRPr="0073474D" w:rsidRDefault="0073474D" w:rsidP="005B2285">
      <w:pPr>
        <w:spacing w:line="360" w:lineRule="auto"/>
        <w:jc w:val="both"/>
        <w:rPr>
          <w:rFonts w:ascii="Arial" w:eastAsia="Arial" w:hAnsi="Arial" w:cs="Arial"/>
          <w:color w:val="000000"/>
        </w:rPr>
      </w:pPr>
    </w:p>
    <w:p w14:paraId="2C79252A" w14:textId="77777777" w:rsidR="0073474D" w:rsidRPr="0073474D" w:rsidRDefault="0073474D" w:rsidP="005B2285">
      <w:pPr>
        <w:spacing w:line="360" w:lineRule="auto"/>
        <w:jc w:val="both"/>
        <w:rPr>
          <w:rFonts w:ascii="Arial" w:eastAsia="Arial" w:hAnsi="Arial" w:cs="Arial"/>
          <w:color w:val="000000"/>
        </w:rPr>
      </w:pPr>
      <w:r w:rsidRPr="0073474D">
        <w:rPr>
          <w:rFonts w:ascii="Arial" w:eastAsia="Arial" w:hAnsi="Arial" w:cs="Arial"/>
          <w:color w:val="000000"/>
        </w:rPr>
        <w:t xml:space="preserve">Por lo anterior, se requiere seguimiento operativo específico a este componente, orientado a identificar las causas de demora, segmentar las PQRS por régimen, </w:t>
      </w:r>
      <w:r w:rsidRPr="0073474D">
        <w:rPr>
          <w:rFonts w:ascii="Arial" w:eastAsia="Arial" w:hAnsi="Arial" w:cs="Arial"/>
          <w:color w:val="000000"/>
        </w:rPr>
        <w:lastRenderedPageBreak/>
        <w:t>motivo, localidad, prestador involucrado, tipo de servicio y estado de cierre, así como establecer acciones de mejora que permitan reducir los tiempos de respuesta, fortalecer la gestión resolutiva y prevenir la reiteración de manifestaciones asociadas a las mismas barreras de acceso.</w:t>
      </w:r>
    </w:p>
    <w:p w14:paraId="4FA29876" w14:textId="77777777" w:rsidR="00B63DC5" w:rsidRPr="00242DFB" w:rsidRDefault="00B63DC5" w:rsidP="005B2285">
      <w:pPr>
        <w:spacing w:line="360" w:lineRule="auto"/>
        <w:jc w:val="both"/>
        <w:rPr>
          <w:rFonts w:ascii="Arial" w:hAnsi="Arial" w:cs="Arial"/>
          <w:color w:val="000000" w:themeColor="text1"/>
        </w:rPr>
      </w:pPr>
    </w:p>
    <w:p w14:paraId="7BC10519" w14:textId="3F0FD7A0" w:rsidR="009F762E" w:rsidRPr="00242DFB" w:rsidRDefault="007725D8" w:rsidP="005B2285">
      <w:pPr>
        <w:pStyle w:val="Ttulo2"/>
        <w:numPr>
          <w:ilvl w:val="1"/>
          <w:numId w:val="7"/>
        </w:numPr>
        <w:spacing w:before="0" w:line="360" w:lineRule="auto"/>
        <w:jc w:val="both"/>
        <w:rPr>
          <w:rFonts w:ascii="Arial" w:eastAsia="Arial" w:hAnsi="Arial" w:cs="Arial"/>
          <w:b/>
          <w:bCs/>
          <w:color w:val="000000"/>
          <w:sz w:val="24"/>
          <w:szCs w:val="24"/>
        </w:rPr>
      </w:pPr>
      <w:bookmarkStart w:id="55" w:name="_Toc233574833"/>
      <w:r w:rsidRPr="00242DFB">
        <w:rPr>
          <w:rFonts w:ascii="Arial" w:eastAsia="Arial" w:hAnsi="Arial" w:cs="Arial"/>
          <w:b/>
          <w:bCs/>
          <w:color w:val="000000"/>
          <w:sz w:val="24"/>
          <w:szCs w:val="24"/>
        </w:rPr>
        <w:t>Barreras de acceso años 2025 Capital Salud EPS</w:t>
      </w:r>
      <w:r w:rsidR="00D33C9C">
        <w:rPr>
          <w:rStyle w:val="Refdenotaalpie"/>
          <w:rFonts w:ascii="Arial" w:eastAsia="Arial" w:hAnsi="Arial" w:cs="Arial"/>
          <w:b/>
          <w:bCs/>
          <w:color w:val="000000"/>
          <w:sz w:val="24"/>
          <w:szCs w:val="24"/>
        </w:rPr>
        <w:footnoteReference w:id="5"/>
      </w:r>
      <w:bookmarkEnd w:id="55"/>
    </w:p>
    <w:p w14:paraId="70D897A7" w14:textId="77777777" w:rsidR="009F762E" w:rsidRPr="00242DFB" w:rsidRDefault="009F762E" w:rsidP="005B2285">
      <w:pPr>
        <w:spacing w:line="360" w:lineRule="auto"/>
        <w:jc w:val="both"/>
        <w:rPr>
          <w:rFonts w:ascii="Arial" w:hAnsi="Arial" w:cs="Arial"/>
          <w:color w:val="000000" w:themeColor="text1"/>
        </w:rPr>
      </w:pPr>
    </w:p>
    <w:p w14:paraId="7BB6FEE2"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En lo relacionado con las barreras de acceso identificadas durante la vigencia 2025, según la información gestionada por la Subdirección de Garantía del Aseguramiento a través de Bogotá Te Escucha y el Sistema de Información para el Monitoreo del Acceso —SIDMA—, se evidencia que las manifestaciones ciudadanas asociadas a Capital Salud se concentraron principalmente en problemas de oportunidad para acceder a los servicios de salud y en dificultades relacionadas con la entrega oportuna de medicamentos. Sobre un total de 8.600 PQRS tramitadas, la distribución por categoría de barrera de acceso se presenta a continuación:</w:t>
      </w:r>
    </w:p>
    <w:p w14:paraId="16C77BE3" w14:textId="77777777" w:rsidR="00080173" w:rsidRDefault="00080173" w:rsidP="005B2285">
      <w:pPr>
        <w:pStyle w:val="Descripcin"/>
        <w:keepNext/>
        <w:spacing w:after="0" w:line="360" w:lineRule="auto"/>
        <w:jc w:val="center"/>
        <w:rPr>
          <w:rFonts w:ascii="Arial" w:hAnsi="Arial" w:cs="Arial"/>
          <w:color w:val="000000" w:themeColor="text1"/>
          <w:sz w:val="24"/>
          <w:szCs w:val="24"/>
        </w:rPr>
      </w:pPr>
    </w:p>
    <w:p w14:paraId="2F2F1BAE" w14:textId="322D8156" w:rsidR="009A5FBE" w:rsidRPr="00242DFB" w:rsidRDefault="009A5FBE" w:rsidP="005B2285">
      <w:pPr>
        <w:pStyle w:val="Descripcin"/>
        <w:keepNext/>
        <w:spacing w:after="0" w:line="360" w:lineRule="auto"/>
        <w:jc w:val="center"/>
        <w:rPr>
          <w:rFonts w:ascii="Arial" w:hAnsi="Arial" w:cs="Arial"/>
        </w:rPr>
      </w:pPr>
      <w:bookmarkStart w:id="56" w:name="_Toc233574871"/>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11</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Barreras de acceso Capital Salud EPS-S, año 2025</w:t>
      </w:r>
      <w:bookmarkEnd w:id="56"/>
    </w:p>
    <w:tbl>
      <w:tblPr>
        <w:tblStyle w:val="Tablaconcuadrcula"/>
        <w:tblW w:w="9740" w:type="dxa"/>
        <w:jc w:val="center"/>
        <w:tblLook w:val="04A0" w:firstRow="1" w:lastRow="0" w:firstColumn="1" w:lastColumn="0" w:noHBand="0" w:noVBand="1"/>
      </w:tblPr>
      <w:tblGrid>
        <w:gridCol w:w="7443"/>
        <w:gridCol w:w="1449"/>
        <w:gridCol w:w="848"/>
      </w:tblGrid>
      <w:tr w:rsidR="004675CD" w:rsidRPr="00242DFB" w14:paraId="466F1640" w14:textId="77777777" w:rsidTr="00080173">
        <w:trPr>
          <w:trHeight w:val="296"/>
          <w:jc w:val="center"/>
        </w:trPr>
        <w:tc>
          <w:tcPr>
            <w:tcW w:w="7443" w:type="dxa"/>
            <w:vAlign w:val="center"/>
            <w:hideMark/>
          </w:tcPr>
          <w:p w14:paraId="2DF619B5" w14:textId="77777777" w:rsidR="009A5FBE" w:rsidRPr="009A5FBE" w:rsidRDefault="009A5FBE" w:rsidP="005B2285">
            <w:pPr>
              <w:spacing w:line="360" w:lineRule="auto"/>
              <w:jc w:val="center"/>
              <w:rPr>
                <w:rFonts w:ascii="Arial" w:hAnsi="Arial" w:cs="Arial"/>
                <w:b/>
                <w:bCs/>
                <w:color w:val="000000" w:themeColor="text1"/>
              </w:rPr>
            </w:pPr>
            <w:r w:rsidRPr="009A5FBE">
              <w:rPr>
                <w:rFonts w:ascii="Arial" w:hAnsi="Arial" w:cs="Arial"/>
                <w:b/>
                <w:bCs/>
                <w:color w:val="000000" w:themeColor="text1"/>
              </w:rPr>
              <w:t>Categoría - barrera de acceso</w:t>
            </w:r>
          </w:p>
        </w:tc>
        <w:tc>
          <w:tcPr>
            <w:tcW w:w="1449" w:type="dxa"/>
            <w:vAlign w:val="center"/>
            <w:hideMark/>
          </w:tcPr>
          <w:p w14:paraId="5544EF0C" w14:textId="77777777" w:rsidR="009A5FBE" w:rsidRPr="009A5FBE" w:rsidRDefault="009A5FBE" w:rsidP="005B2285">
            <w:pPr>
              <w:spacing w:line="360" w:lineRule="auto"/>
              <w:jc w:val="center"/>
              <w:rPr>
                <w:rFonts w:ascii="Arial" w:hAnsi="Arial" w:cs="Arial"/>
                <w:b/>
                <w:bCs/>
                <w:color w:val="000000" w:themeColor="text1"/>
              </w:rPr>
            </w:pPr>
            <w:r w:rsidRPr="009A5FBE">
              <w:rPr>
                <w:rFonts w:ascii="Arial" w:hAnsi="Arial" w:cs="Arial"/>
                <w:b/>
                <w:bCs/>
                <w:color w:val="000000" w:themeColor="text1"/>
              </w:rPr>
              <w:t>Capital Salud EPS-S</w:t>
            </w:r>
          </w:p>
        </w:tc>
        <w:tc>
          <w:tcPr>
            <w:tcW w:w="0" w:type="auto"/>
            <w:vAlign w:val="center"/>
            <w:hideMark/>
          </w:tcPr>
          <w:p w14:paraId="50938556" w14:textId="77777777" w:rsidR="009A5FBE" w:rsidRPr="009A5FBE" w:rsidRDefault="009A5FBE" w:rsidP="005B2285">
            <w:pPr>
              <w:spacing w:line="360" w:lineRule="auto"/>
              <w:jc w:val="center"/>
              <w:rPr>
                <w:rFonts w:ascii="Arial" w:hAnsi="Arial" w:cs="Arial"/>
                <w:b/>
                <w:bCs/>
                <w:color w:val="000000" w:themeColor="text1"/>
              </w:rPr>
            </w:pPr>
            <w:r w:rsidRPr="009A5FBE">
              <w:rPr>
                <w:rFonts w:ascii="Arial" w:hAnsi="Arial" w:cs="Arial"/>
                <w:b/>
                <w:bCs/>
                <w:color w:val="000000" w:themeColor="text1"/>
              </w:rPr>
              <w:t>%</w:t>
            </w:r>
          </w:p>
        </w:tc>
      </w:tr>
      <w:tr w:rsidR="004675CD" w:rsidRPr="00242DFB" w14:paraId="6744F423" w14:textId="77777777" w:rsidTr="00080173">
        <w:trPr>
          <w:trHeight w:val="98"/>
          <w:jc w:val="center"/>
        </w:trPr>
        <w:tc>
          <w:tcPr>
            <w:tcW w:w="7443" w:type="dxa"/>
            <w:vAlign w:val="center"/>
            <w:hideMark/>
          </w:tcPr>
          <w:p w14:paraId="2EB55F35"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NO_OPORTUNIDAD_SERVICIOS</w:t>
            </w:r>
          </w:p>
        </w:tc>
        <w:tc>
          <w:tcPr>
            <w:tcW w:w="1449" w:type="dxa"/>
            <w:vAlign w:val="center"/>
            <w:hideMark/>
          </w:tcPr>
          <w:p w14:paraId="7F123271"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6.192</w:t>
            </w:r>
          </w:p>
        </w:tc>
        <w:tc>
          <w:tcPr>
            <w:tcW w:w="0" w:type="auto"/>
            <w:vAlign w:val="center"/>
            <w:hideMark/>
          </w:tcPr>
          <w:p w14:paraId="7826101C"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72%</w:t>
            </w:r>
          </w:p>
        </w:tc>
      </w:tr>
      <w:tr w:rsidR="004675CD" w:rsidRPr="00242DFB" w14:paraId="478C572B" w14:textId="77777777" w:rsidTr="00080173">
        <w:trPr>
          <w:trHeight w:val="95"/>
          <w:jc w:val="center"/>
        </w:trPr>
        <w:tc>
          <w:tcPr>
            <w:tcW w:w="7443" w:type="dxa"/>
            <w:vAlign w:val="center"/>
            <w:hideMark/>
          </w:tcPr>
          <w:p w14:paraId="5B56C731"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NO_ENTREGA_OPORTUNA_MEDICAMENTOS</w:t>
            </w:r>
          </w:p>
        </w:tc>
        <w:tc>
          <w:tcPr>
            <w:tcW w:w="1449" w:type="dxa"/>
            <w:vAlign w:val="center"/>
            <w:hideMark/>
          </w:tcPr>
          <w:p w14:paraId="2B2492E5"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1.806</w:t>
            </w:r>
          </w:p>
        </w:tc>
        <w:tc>
          <w:tcPr>
            <w:tcW w:w="0" w:type="auto"/>
            <w:vAlign w:val="center"/>
            <w:hideMark/>
          </w:tcPr>
          <w:p w14:paraId="35242AD7"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21%</w:t>
            </w:r>
          </w:p>
        </w:tc>
      </w:tr>
      <w:tr w:rsidR="004675CD" w:rsidRPr="00242DFB" w14:paraId="43EF6236" w14:textId="77777777" w:rsidTr="00080173">
        <w:trPr>
          <w:trHeight w:val="98"/>
          <w:jc w:val="center"/>
        </w:trPr>
        <w:tc>
          <w:tcPr>
            <w:tcW w:w="7443" w:type="dxa"/>
            <w:vAlign w:val="center"/>
            <w:hideMark/>
          </w:tcPr>
          <w:p w14:paraId="6DF8D706"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DIFICULTAD_ACCESIBILIDAD_ADMINISTRATIVA</w:t>
            </w:r>
          </w:p>
        </w:tc>
        <w:tc>
          <w:tcPr>
            <w:tcW w:w="1449" w:type="dxa"/>
            <w:vAlign w:val="center"/>
            <w:hideMark/>
          </w:tcPr>
          <w:p w14:paraId="7E5DE92D"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172</w:t>
            </w:r>
          </w:p>
        </w:tc>
        <w:tc>
          <w:tcPr>
            <w:tcW w:w="0" w:type="auto"/>
            <w:vAlign w:val="center"/>
            <w:hideMark/>
          </w:tcPr>
          <w:p w14:paraId="73C7680B"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2%</w:t>
            </w:r>
          </w:p>
        </w:tc>
      </w:tr>
      <w:tr w:rsidR="004675CD" w:rsidRPr="00242DFB" w14:paraId="72C9807F" w14:textId="77777777" w:rsidTr="00080173">
        <w:trPr>
          <w:trHeight w:val="197"/>
          <w:jc w:val="center"/>
        </w:trPr>
        <w:tc>
          <w:tcPr>
            <w:tcW w:w="7443" w:type="dxa"/>
            <w:vAlign w:val="center"/>
            <w:hideMark/>
          </w:tcPr>
          <w:p w14:paraId="519780F7"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OTRAS_CATEGORÍAS_NO_ESPECIFICADAS_EN_LA_FUENTE</w:t>
            </w:r>
          </w:p>
        </w:tc>
        <w:tc>
          <w:tcPr>
            <w:tcW w:w="1449" w:type="dxa"/>
            <w:vAlign w:val="center"/>
            <w:hideMark/>
          </w:tcPr>
          <w:p w14:paraId="3C3B6B48"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430</w:t>
            </w:r>
          </w:p>
        </w:tc>
        <w:tc>
          <w:tcPr>
            <w:tcW w:w="0" w:type="auto"/>
            <w:vAlign w:val="center"/>
            <w:hideMark/>
          </w:tcPr>
          <w:p w14:paraId="4E8F840B"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5%</w:t>
            </w:r>
          </w:p>
        </w:tc>
      </w:tr>
      <w:tr w:rsidR="004675CD" w:rsidRPr="00242DFB" w14:paraId="289B91A9" w14:textId="77777777" w:rsidTr="00080173">
        <w:trPr>
          <w:trHeight w:val="197"/>
          <w:jc w:val="center"/>
        </w:trPr>
        <w:tc>
          <w:tcPr>
            <w:tcW w:w="7443" w:type="dxa"/>
            <w:vAlign w:val="center"/>
            <w:hideMark/>
          </w:tcPr>
          <w:p w14:paraId="3753748F"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TOTAL</w:t>
            </w:r>
          </w:p>
        </w:tc>
        <w:tc>
          <w:tcPr>
            <w:tcW w:w="1449" w:type="dxa"/>
            <w:vAlign w:val="center"/>
            <w:hideMark/>
          </w:tcPr>
          <w:p w14:paraId="17AB657F"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8.600</w:t>
            </w:r>
          </w:p>
        </w:tc>
        <w:tc>
          <w:tcPr>
            <w:tcW w:w="0" w:type="auto"/>
            <w:vAlign w:val="center"/>
            <w:hideMark/>
          </w:tcPr>
          <w:p w14:paraId="256180EC" w14:textId="77777777"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100%</w:t>
            </w:r>
          </w:p>
        </w:tc>
      </w:tr>
    </w:tbl>
    <w:p w14:paraId="732FD583" w14:textId="77777777" w:rsidR="009A5FBE" w:rsidRPr="009A5FBE" w:rsidRDefault="009A5FBE" w:rsidP="005B2285">
      <w:pPr>
        <w:spacing w:line="360" w:lineRule="auto"/>
        <w:jc w:val="both"/>
        <w:rPr>
          <w:rFonts w:ascii="Arial" w:hAnsi="Arial" w:cs="Arial"/>
          <w:color w:val="000000" w:themeColor="text1"/>
          <w:sz w:val="16"/>
          <w:szCs w:val="16"/>
        </w:rPr>
      </w:pPr>
      <w:r w:rsidRPr="009A5FBE">
        <w:rPr>
          <w:rFonts w:ascii="Arial" w:hAnsi="Arial" w:cs="Arial"/>
          <w:color w:val="000000" w:themeColor="text1"/>
          <w:sz w:val="16"/>
          <w:szCs w:val="16"/>
        </w:rPr>
        <w:t>Fuente: Base de datos Bogotá Te Escucha - Dirección de Aseguramiento y Garantía del Derecho a la Salud, 2026. Sistema de Información para el Monitoreo del Acceso - SIDMA.</w:t>
      </w:r>
    </w:p>
    <w:p w14:paraId="34019751" w14:textId="77777777" w:rsidR="009A5FBE" w:rsidRPr="00242DFB"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lastRenderedPageBreak/>
        <w:t xml:space="preserve">El análisis de la tabla evidencia que la principal barrera reportada corresponde a la no oportunidad de servicios, con 6.192 PQRS, equivalentes al 72% del total, lo que refleja dificultades persistentes para acceder de manera oportuna a citas, procedimientos, autorizaciones, servicios especializados o continuidad de la atención. En segundo lugar, se encuentra la no entrega oportuna de medicamentos, con 1.806 PQRS, correspondiente al 21%, situación que representa una alerta frente a la continuidad terapéutica de los usuarios. </w:t>
      </w:r>
    </w:p>
    <w:p w14:paraId="54BB2BA2" w14:textId="77777777" w:rsidR="009A5FBE" w:rsidRPr="00242DFB" w:rsidRDefault="009A5FBE" w:rsidP="005B2285">
      <w:pPr>
        <w:spacing w:line="360" w:lineRule="auto"/>
        <w:jc w:val="both"/>
        <w:rPr>
          <w:rFonts w:ascii="Arial" w:hAnsi="Arial" w:cs="Arial"/>
          <w:color w:val="000000" w:themeColor="text1"/>
        </w:rPr>
      </w:pPr>
    </w:p>
    <w:p w14:paraId="0D1EE99F" w14:textId="3C16E0CF" w:rsidR="009A5FBE" w:rsidRPr="009A5FBE" w:rsidRDefault="009A5FBE" w:rsidP="005B2285">
      <w:pPr>
        <w:spacing w:line="360" w:lineRule="auto"/>
        <w:jc w:val="both"/>
        <w:rPr>
          <w:rFonts w:ascii="Arial" w:hAnsi="Arial" w:cs="Arial"/>
          <w:color w:val="000000" w:themeColor="text1"/>
        </w:rPr>
      </w:pPr>
      <w:r w:rsidRPr="009A5FBE">
        <w:rPr>
          <w:rFonts w:ascii="Arial" w:hAnsi="Arial" w:cs="Arial"/>
          <w:color w:val="000000" w:themeColor="text1"/>
        </w:rPr>
        <w:t>En conjunto, estas dos categorías concentran el 93% de las barreras identificadas, lo que permite concluir que los principales problemas reportados por los afiliados se relacionan con el acceso efectivo a servicios y medicamentos, componentes críticos para la garantía del derecho fundamental a la salud y para la gestión integral del riesgo en la población afiliada a Capital Salud EPS-S.</w:t>
      </w:r>
    </w:p>
    <w:p w14:paraId="5F38F66D" w14:textId="77777777" w:rsidR="009A5FBE" w:rsidRPr="00242DFB" w:rsidRDefault="009A5FBE" w:rsidP="005B2285">
      <w:pPr>
        <w:spacing w:line="360" w:lineRule="auto"/>
        <w:jc w:val="both"/>
        <w:rPr>
          <w:rFonts w:ascii="Arial" w:hAnsi="Arial" w:cs="Arial"/>
          <w:color w:val="000000" w:themeColor="text1"/>
        </w:rPr>
      </w:pPr>
    </w:p>
    <w:p w14:paraId="403ED9C7" w14:textId="77777777" w:rsidR="009F762E" w:rsidRPr="00242DFB" w:rsidRDefault="00000000" w:rsidP="005B2285">
      <w:pPr>
        <w:pStyle w:val="Ttulo1"/>
        <w:numPr>
          <w:ilvl w:val="0"/>
          <w:numId w:val="7"/>
        </w:numPr>
        <w:spacing w:before="0" w:line="360" w:lineRule="auto"/>
        <w:jc w:val="both"/>
        <w:rPr>
          <w:rFonts w:ascii="Arial" w:hAnsi="Arial" w:cs="Arial"/>
          <w:b/>
          <w:bCs/>
          <w:color w:val="000000" w:themeColor="text1"/>
          <w:sz w:val="24"/>
          <w:szCs w:val="24"/>
        </w:rPr>
      </w:pPr>
      <w:bookmarkStart w:id="57" w:name="__RefHeading___Toc8590_542869190"/>
      <w:bookmarkStart w:id="58" w:name="_Toc230853770"/>
      <w:bookmarkStart w:id="59" w:name="_Toc233574834"/>
      <w:bookmarkEnd w:id="57"/>
      <w:r w:rsidRPr="00242DFB">
        <w:rPr>
          <w:rFonts w:ascii="Arial" w:hAnsi="Arial" w:cs="Arial"/>
          <w:b/>
          <w:bCs/>
          <w:color w:val="000000"/>
          <w:sz w:val="24"/>
          <w:szCs w:val="24"/>
        </w:rPr>
        <w:t>RESULTADOS EN SALUD Y GESTIÓN DEL RIESGO</w:t>
      </w:r>
      <w:bookmarkEnd w:id="58"/>
      <w:bookmarkEnd w:id="59"/>
    </w:p>
    <w:p w14:paraId="463587BA" w14:textId="77777777" w:rsidR="009F762E" w:rsidRPr="00242DFB" w:rsidRDefault="009F762E" w:rsidP="005B2285">
      <w:pPr>
        <w:spacing w:line="360" w:lineRule="auto"/>
        <w:jc w:val="both"/>
        <w:rPr>
          <w:rFonts w:ascii="Arial" w:hAnsi="Arial" w:cs="Arial"/>
          <w:color w:val="000000" w:themeColor="text1"/>
        </w:rPr>
      </w:pPr>
    </w:p>
    <w:p w14:paraId="0EA4BBA5" w14:textId="18D6C8A4" w:rsidR="009F762E" w:rsidRPr="00242DFB" w:rsidRDefault="00000000" w:rsidP="005B2285">
      <w:pPr>
        <w:pStyle w:val="Ttulo2"/>
        <w:numPr>
          <w:ilvl w:val="1"/>
          <w:numId w:val="7"/>
        </w:numPr>
        <w:spacing w:before="0" w:line="360" w:lineRule="auto"/>
        <w:jc w:val="both"/>
        <w:rPr>
          <w:rFonts w:ascii="Arial" w:hAnsi="Arial" w:cs="Arial"/>
          <w:b/>
          <w:bCs/>
          <w:color w:val="000000" w:themeColor="text1"/>
          <w:sz w:val="24"/>
          <w:szCs w:val="24"/>
        </w:rPr>
      </w:pPr>
      <w:bookmarkStart w:id="60" w:name="__RefHeading___Toc8592_542869190"/>
      <w:bookmarkStart w:id="61" w:name="OLE_LINK10"/>
      <w:bookmarkStart w:id="62" w:name="_Toc230853771"/>
      <w:bookmarkStart w:id="63" w:name="_Toc233574835"/>
      <w:bookmarkEnd w:id="60"/>
      <w:r w:rsidRPr="00242DFB">
        <w:rPr>
          <w:rFonts w:ascii="Arial" w:hAnsi="Arial" w:cs="Arial"/>
          <w:b/>
          <w:bCs/>
          <w:color w:val="000000"/>
          <w:sz w:val="24"/>
          <w:szCs w:val="24"/>
        </w:rPr>
        <w:t>Mortalidad materna</w:t>
      </w:r>
      <w:bookmarkEnd w:id="61"/>
      <w:bookmarkEnd w:id="62"/>
      <w:bookmarkEnd w:id="63"/>
    </w:p>
    <w:p w14:paraId="60BF70F2" w14:textId="77777777" w:rsidR="009F762E" w:rsidRPr="00242DFB" w:rsidRDefault="009F762E" w:rsidP="005B2285">
      <w:pPr>
        <w:spacing w:line="360" w:lineRule="auto"/>
        <w:rPr>
          <w:rFonts w:ascii="Arial" w:hAnsi="Arial" w:cs="Arial"/>
          <w:color w:val="000000" w:themeColor="text1"/>
        </w:rPr>
      </w:pPr>
    </w:p>
    <w:p w14:paraId="7805201F" w14:textId="77777777" w:rsidR="008F5EC1" w:rsidRPr="00242DFB" w:rsidRDefault="008F5EC1" w:rsidP="005B2285">
      <w:pPr>
        <w:spacing w:line="360" w:lineRule="auto"/>
        <w:jc w:val="both"/>
        <w:rPr>
          <w:rFonts w:ascii="Arial" w:hAnsi="Arial" w:cs="Arial"/>
          <w:color w:val="000000" w:themeColor="text1"/>
        </w:rPr>
      </w:pPr>
      <w:r w:rsidRPr="008F5EC1">
        <w:rPr>
          <w:rFonts w:ascii="Arial" w:hAnsi="Arial" w:cs="Arial"/>
          <w:color w:val="000000" w:themeColor="text1"/>
        </w:rPr>
        <w:t>La mortalidad materna constituye uno de los eventos trazadores más sensibles para evaluar la calidad, oportunidad, continuidad e integralidad de la atención en salud de la población gestante. Su ocurrencia no solo refleja la severidad clínica de un evento individual, sino también la capacidad efectiva del asegurador y de la red prestadora para garantizar captación temprana, control prenatal oportuno, identificación y clasificación del riesgo, acceso a servicios especializados, referencia efectiva, atención segura del parto y seguimiento durante el puerperio.</w:t>
      </w:r>
    </w:p>
    <w:p w14:paraId="2984DA88" w14:textId="77777777" w:rsidR="008F5EC1" w:rsidRPr="008F5EC1" w:rsidRDefault="008F5EC1" w:rsidP="005B2285">
      <w:pPr>
        <w:spacing w:line="360" w:lineRule="auto"/>
        <w:jc w:val="both"/>
        <w:rPr>
          <w:rFonts w:ascii="Arial" w:hAnsi="Arial" w:cs="Arial"/>
          <w:color w:val="000000" w:themeColor="text1"/>
        </w:rPr>
      </w:pPr>
    </w:p>
    <w:p w14:paraId="77AE2CA9" w14:textId="77777777" w:rsidR="008F5EC1" w:rsidRPr="00242DFB" w:rsidRDefault="008F5EC1" w:rsidP="005B2285">
      <w:pPr>
        <w:spacing w:line="360" w:lineRule="auto"/>
        <w:jc w:val="both"/>
        <w:rPr>
          <w:rFonts w:ascii="Arial" w:hAnsi="Arial" w:cs="Arial"/>
          <w:color w:val="000000" w:themeColor="text1"/>
        </w:rPr>
      </w:pPr>
      <w:r w:rsidRPr="008F5EC1">
        <w:rPr>
          <w:rFonts w:ascii="Arial" w:hAnsi="Arial" w:cs="Arial"/>
          <w:color w:val="000000" w:themeColor="text1"/>
        </w:rPr>
        <w:t xml:space="preserve">Este evento se monitorea mediante la </w:t>
      </w:r>
      <w:r w:rsidRPr="008F5EC1">
        <w:rPr>
          <w:rFonts w:ascii="Arial" w:hAnsi="Arial" w:cs="Arial"/>
          <w:b/>
          <w:bCs/>
          <w:color w:val="000000" w:themeColor="text1"/>
        </w:rPr>
        <w:t>Razón de Mortalidad Materna —RMM—</w:t>
      </w:r>
      <w:r w:rsidRPr="008F5EC1">
        <w:rPr>
          <w:rFonts w:ascii="Arial" w:hAnsi="Arial" w:cs="Arial"/>
          <w:color w:val="000000" w:themeColor="text1"/>
        </w:rPr>
        <w:t xml:space="preserve">, indicador que relaciona el número de muertes maternas ocurridas durante el embarazo, el parto o dentro de los 42 días siguientes a la terminación de la gestación, frente al número de nacidos vivos en el mismo periodo, expresado por cada 100.000 nacidos vivos. Su propósito es estimar el riesgo de morir por causas </w:t>
      </w:r>
      <w:r w:rsidRPr="008F5EC1">
        <w:rPr>
          <w:rFonts w:ascii="Arial" w:hAnsi="Arial" w:cs="Arial"/>
          <w:color w:val="000000" w:themeColor="text1"/>
        </w:rPr>
        <w:lastRenderedPageBreak/>
        <w:t>relacionadas o agravadas por el embarazo, el parto o el puerperio, y constituye una medida fundamental para orientar acciones de vigilancia epidemiológica, gestión integral del riesgo, mejoramiento de la calidad de la atención y toma de decisiones en salud pública.</w:t>
      </w:r>
    </w:p>
    <w:p w14:paraId="11D099E7" w14:textId="77777777" w:rsidR="008F5EC1" w:rsidRPr="008F5EC1" w:rsidRDefault="008F5EC1" w:rsidP="005B2285">
      <w:pPr>
        <w:spacing w:line="360" w:lineRule="auto"/>
        <w:jc w:val="both"/>
        <w:rPr>
          <w:rFonts w:ascii="Arial" w:hAnsi="Arial" w:cs="Arial"/>
          <w:color w:val="000000" w:themeColor="text1"/>
        </w:rPr>
      </w:pPr>
    </w:p>
    <w:p w14:paraId="6FF442B5" w14:textId="77777777" w:rsidR="008F5EC1" w:rsidRPr="00242DFB" w:rsidRDefault="008F5EC1" w:rsidP="005B2285">
      <w:pPr>
        <w:spacing w:line="360" w:lineRule="auto"/>
        <w:jc w:val="both"/>
        <w:rPr>
          <w:rFonts w:ascii="Arial" w:hAnsi="Arial" w:cs="Arial"/>
          <w:color w:val="000000" w:themeColor="text1"/>
        </w:rPr>
      </w:pPr>
      <w:r w:rsidRPr="008F5EC1">
        <w:rPr>
          <w:rFonts w:ascii="Arial" w:hAnsi="Arial" w:cs="Arial"/>
          <w:color w:val="000000" w:themeColor="text1"/>
        </w:rPr>
        <w:t xml:space="preserve">Durante la vigencia 2025, en Bogotá, D. C., la EAPB Capital Salud registró </w:t>
      </w:r>
      <w:r w:rsidRPr="008F5EC1">
        <w:rPr>
          <w:rFonts w:ascii="Arial" w:hAnsi="Arial" w:cs="Arial"/>
          <w:b/>
          <w:bCs/>
          <w:color w:val="000000" w:themeColor="text1"/>
        </w:rPr>
        <w:t>dos casos de muerte materna</w:t>
      </w:r>
      <w:r w:rsidRPr="008F5EC1">
        <w:rPr>
          <w:rFonts w:ascii="Arial" w:hAnsi="Arial" w:cs="Arial"/>
          <w:color w:val="000000" w:themeColor="text1"/>
        </w:rPr>
        <w:t xml:space="preserve">, con una </w:t>
      </w:r>
      <w:r w:rsidRPr="008F5EC1">
        <w:rPr>
          <w:rFonts w:ascii="Arial" w:hAnsi="Arial" w:cs="Arial"/>
          <w:b/>
          <w:bCs/>
          <w:color w:val="000000" w:themeColor="text1"/>
        </w:rPr>
        <w:t>Razón de Mortalidad Materna preliminar de 36,85 por cada 100.000 nacidos vivos</w:t>
      </w:r>
      <w:r w:rsidRPr="008F5EC1">
        <w:rPr>
          <w:rFonts w:ascii="Arial" w:hAnsi="Arial" w:cs="Arial"/>
          <w:color w:val="000000" w:themeColor="text1"/>
        </w:rPr>
        <w:t>, según información RUAF–SIVIGILA. Aunque el número absoluto de casos es bajo, cada muerte materna representa una alerta crítica para el sistema, en tanto exige un análisis individual, integral y exhaustivo de la trayectoria de atención, las condiciones clínicas, las barreras de acceso, la oportunidad en la identificación de signos de alarma y la capacidad de respuesta de la red prestadora.</w:t>
      </w:r>
    </w:p>
    <w:p w14:paraId="4ABB89D9" w14:textId="77777777" w:rsidR="008F5EC1" w:rsidRPr="008F5EC1" w:rsidRDefault="008F5EC1" w:rsidP="005B2285">
      <w:pPr>
        <w:spacing w:line="360" w:lineRule="auto"/>
        <w:jc w:val="both"/>
        <w:rPr>
          <w:rFonts w:ascii="Arial" w:hAnsi="Arial" w:cs="Arial"/>
          <w:color w:val="000000" w:themeColor="text1"/>
        </w:rPr>
      </w:pPr>
    </w:p>
    <w:p w14:paraId="08B00894" w14:textId="77777777" w:rsidR="008F5EC1" w:rsidRPr="00242DFB" w:rsidRDefault="008F5EC1" w:rsidP="005B2285">
      <w:pPr>
        <w:spacing w:line="360" w:lineRule="auto"/>
        <w:jc w:val="both"/>
        <w:rPr>
          <w:rFonts w:ascii="Arial" w:hAnsi="Arial" w:cs="Arial"/>
          <w:color w:val="000000" w:themeColor="text1"/>
        </w:rPr>
      </w:pPr>
      <w:r w:rsidRPr="008F5EC1">
        <w:rPr>
          <w:rFonts w:ascii="Arial" w:hAnsi="Arial" w:cs="Arial"/>
          <w:color w:val="000000" w:themeColor="text1"/>
        </w:rPr>
        <w:t xml:space="preserve">Al comparar este resultado con el comportamiento distrital, se observa que la RMM preliminar de Capital Salud EPS-S fue ligeramente superior a la razón reportada para Bogotá, D. C., que a diciembre de 2025 se ubicó en </w:t>
      </w:r>
      <w:r w:rsidRPr="008F5EC1">
        <w:rPr>
          <w:rFonts w:ascii="Arial" w:hAnsi="Arial" w:cs="Arial"/>
          <w:b/>
          <w:bCs/>
          <w:color w:val="000000" w:themeColor="text1"/>
        </w:rPr>
        <w:t>35,3 muertes maternas por cada 100.000 nacidos vivos</w:t>
      </w:r>
      <w:r w:rsidRPr="008F5EC1">
        <w:rPr>
          <w:rFonts w:ascii="Arial" w:hAnsi="Arial" w:cs="Arial"/>
          <w:color w:val="000000" w:themeColor="text1"/>
        </w:rPr>
        <w:t>. Si bien la diferencia entre ambos indicadores no es amplia, el resultado de Capital Salud se sitúa por encima del promedio distrital, lo que refuerza la necesidad de mantener seguimiento específico sobre la cohorte materno-perinatal afiliada a esta EPS. Esta comparación adquiere especial relevancia porque los dos eventos reportados correspondieron a muertes maternas directas, asociadas a complicaciones obstétricas agudas y potencialmente prevenibles o mitigables mediante captación temprana, control prenatal efectivo, clasificación oportuna del riesgo, identificación de signos de alarma y activación adecuada de rutas de atención.</w:t>
      </w:r>
    </w:p>
    <w:p w14:paraId="51569221" w14:textId="77777777" w:rsidR="008F5EC1" w:rsidRPr="008F5EC1" w:rsidRDefault="008F5EC1" w:rsidP="005B2285">
      <w:pPr>
        <w:spacing w:line="360" w:lineRule="auto"/>
        <w:jc w:val="both"/>
        <w:rPr>
          <w:rFonts w:ascii="Arial" w:hAnsi="Arial" w:cs="Arial"/>
          <w:color w:val="000000" w:themeColor="text1"/>
        </w:rPr>
      </w:pPr>
    </w:p>
    <w:p w14:paraId="6445BBC1" w14:textId="77777777" w:rsidR="008F5EC1" w:rsidRPr="00242DFB" w:rsidRDefault="008F5EC1" w:rsidP="005B2285">
      <w:pPr>
        <w:spacing w:line="360" w:lineRule="auto"/>
        <w:jc w:val="both"/>
        <w:rPr>
          <w:rFonts w:ascii="Arial" w:hAnsi="Arial" w:cs="Arial"/>
          <w:color w:val="000000" w:themeColor="text1"/>
        </w:rPr>
      </w:pPr>
      <w:r w:rsidRPr="008F5EC1">
        <w:rPr>
          <w:rFonts w:ascii="Arial" w:hAnsi="Arial" w:cs="Arial"/>
          <w:color w:val="000000" w:themeColor="text1"/>
        </w:rPr>
        <w:t xml:space="preserve">Los dos eventos correspondieron a mujeres jóvenes, de </w:t>
      </w:r>
      <w:r w:rsidRPr="008F5EC1">
        <w:rPr>
          <w:rFonts w:ascii="Arial" w:hAnsi="Arial" w:cs="Arial"/>
          <w:b/>
          <w:bCs/>
          <w:color w:val="000000" w:themeColor="text1"/>
        </w:rPr>
        <w:t>20 y 24 años</w:t>
      </w:r>
      <w:r w:rsidRPr="008F5EC1">
        <w:rPr>
          <w:rFonts w:ascii="Arial" w:hAnsi="Arial" w:cs="Arial"/>
          <w:color w:val="000000" w:themeColor="text1"/>
        </w:rPr>
        <w:t xml:space="preserve">, ambas en etapas avanzadas de la gestación, con edades gestacionales de </w:t>
      </w:r>
      <w:r w:rsidRPr="008F5EC1">
        <w:rPr>
          <w:rFonts w:ascii="Arial" w:hAnsi="Arial" w:cs="Arial"/>
          <w:b/>
          <w:bCs/>
          <w:color w:val="000000" w:themeColor="text1"/>
        </w:rPr>
        <w:t>30 y 38 semanas</w:t>
      </w:r>
      <w:r w:rsidRPr="008F5EC1">
        <w:rPr>
          <w:rFonts w:ascii="Arial" w:hAnsi="Arial" w:cs="Arial"/>
          <w:color w:val="000000" w:themeColor="text1"/>
        </w:rPr>
        <w:t xml:space="preserve">. Si bien estas edades no corresponden en principio a extremos de edad materna, los desenlaces fatales estuvieron asociados a complicaciones obstétricas agudas de </w:t>
      </w:r>
      <w:r w:rsidRPr="008F5EC1">
        <w:rPr>
          <w:rFonts w:ascii="Arial" w:hAnsi="Arial" w:cs="Arial"/>
          <w:color w:val="000000" w:themeColor="text1"/>
        </w:rPr>
        <w:lastRenderedPageBreak/>
        <w:t>alta severidad. Este comportamiento evidencia que el riesgo materno no depende exclusivamente de la edad de la gestante, sino también de la evolución clínica durante el embarazo, la identificación oportuna de factores de riesgo, la adherencia al control prenatal, la oportunidad en la atención y la capacidad institucional para activar rutas de manejo ante eventos críticos.</w:t>
      </w:r>
    </w:p>
    <w:p w14:paraId="7C754CDC" w14:textId="77777777" w:rsidR="008F5EC1" w:rsidRPr="008F5EC1" w:rsidRDefault="008F5EC1" w:rsidP="005B2285">
      <w:pPr>
        <w:spacing w:line="360" w:lineRule="auto"/>
        <w:jc w:val="both"/>
        <w:rPr>
          <w:rFonts w:ascii="Arial" w:hAnsi="Arial" w:cs="Arial"/>
          <w:color w:val="000000" w:themeColor="text1"/>
        </w:rPr>
      </w:pPr>
    </w:p>
    <w:p w14:paraId="6240B879" w14:textId="77777777" w:rsidR="008F5EC1" w:rsidRPr="00242DFB" w:rsidRDefault="008F5EC1" w:rsidP="005B2285">
      <w:pPr>
        <w:spacing w:line="360" w:lineRule="auto"/>
        <w:jc w:val="both"/>
        <w:rPr>
          <w:rFonts w:ascii="Arial" w:hAnsi="Arial" w:cs="Arial"/>
          <w:color w:val="000000" w:themeColor="text1"/>
        </w:rPr>
      </w:pPr>
      <w:r w:rsidRPr="008F5EC1">
        <w:rPr>
          <w:rFonts w:ascii="Arial" w:hAnsi="Arial" w:cs="Arial"/>
          <w:color w:val="000000" w:themeColor="text1"/>
        </w:rPr>
        <w:t xml:space="preserve">Desde la clasificación epidemiológica, los dos casos correspondieron a </w:t>
      </w:r>
      <w:r w:rsidRPr="008F5EC1">
        <w:rPr>
          <w:rFonts w:ascii="Arial" w:hAnsi="Arial" w:cs="Arial"/>
          <w:b/>
          <w:bCs/>
          <w:color w:val="000000" w:themeColor="text1"/>
        </w:rPr>
        <w:t>muertes maternas directas</w:t>
      </w:r>
      <w:r w:rsidRPr="008F5EC1">
        <w:rPr>
          <w:rFonts w:ascii="Arial" w:hAnsi="Arial" w:cs="Arial"/>
          <w:color w:val="000000" w:themeColor="text1"/>
        </w:rPr>
        <w:t>, asociadas a complicaciones obstétricas del embarazo, el parto o el puerperio. El primer caso se relacionó con un trastorno hipertensivo del embarazo, específicamente eclampsia complicada con síndrome de encefalopatía posterior reversible —PRES—. El segundo caso se asoció a hemorragia obstétrica masiva secundaria a abrupción de placenta, complicada con coagulación intravascular diseminada —CID— y choque mixto. Estas condiciones se encuentran dentro de los principales grupos de causas prevenibles o potencialmente mitigables de mortalidad materna, especialmente cuando existen oportunidades de intervención temprana durante el control prenatal, la valoración del riesgo obstétrico, la identificación de signos de alarma y la activación oportuna de rutas de atención.</w:t>
      </w:r>
    </w:p>
    <w:p w14:paraId="6107B60F" w14:textId="77777777" w:rsidR="00256C22" w:rsidRPr="008F5EC1" w:rsidRDefault="00256C22" w:rsidP="005B2285">
      <w:pPr>
        <w:spacing w:line="360" w:lineRule="auto"/>
        <w:jc w:val="both"/>
        <w:rPr>
          <w:rFonts w:ascii="Arial" w:hAnsi="Arial" w:cs="Arial"/>
          <w:color w:val="000000" w:themeColor="text1"/>
        </w:rPr>
      </w:pPr>
    </w:p>
    <w:p w14:paraId="67F1E03B" w14:textId="77777777" w:rsidR="008F5EC1" w:rsidRPr="00242DFB" w:rsidRDefault="008F5EC1" w:rsidP="005B2285">
      <w:pPr>
        <w:spacing w:line="360" w:lineRule="auto"/>
        <w:jc w:val="both"/>
        <w:rPr>
          <w:rFonts w:ascii="Arial" w:hAnsi="Arial" w:cs="Arial"/>
          <w:color w:val="000000" w:themeColor="text1"/>
        </w:rPr>
      </w:pPr>
      <w:r w:rsidRPr="008F5EC1">
        <w:rPr>
          <w:rFonts w:ascii="Arial" w:hAnsi="Arial" w:cs="Arial"/>
          <w:color w:val="000000" w:themeColor="text1"/>
        </w:rPr>
        <w:t xml:space="preserve">Un hallazgo relevante en el análisis de los casos fue la presencia de </w:t>
      </w:r>
      <w:r w:rsidRPr="008F5EC1">
        <w:rPr>
          <w:rFonts w:ascii="Arial" w:hAnsi="Arial" w:cs="Arial"/>
          <w:b/>
          <w:bCs/>
          <w:color w:val="000000" w:themeColor="text1"/>
        </w:rPr>
        <w:t>controles prenatales insuficientes</w:t>
      </w:r>
      <w:r w:rsidRPr="008F5EC1">
        <w:rPr>
          <w:rFonts w:ascii="Arial" w:hAnsi="Arial" w:cs="Arial"/>
          <w:color w:val="000000" w:themeColor="text1"/>
        </w:rPr>
        <w:t>, situación que constituye una alerta crítica para la gestión del riesgo materno-perinatal. La baja adherencia o insuficiente asistencia al control prenatal puede limitar la detección temprana de trastornos hipertensivos, alteraciones placentarias, signos de deterioro clínico, condiciones sociales de riesgo y necesidades de seguimiento diferenciado. En este sentido, el control prenatal no debe entenderse únicamente como una actividad programática, sino como una intervención estratégica para anticipar complicaciones, clasificar el riesgo, activar rutas de atención, inducir demanda efectiva y garantizar continuidad del cuidado.</w:t>
      </w:r>
    </w:p>
    <w:p w14:paraId="749C67A7" w14:textId="77777777" w:rsidR="008F5EC1" w:rsidRPr="008F5EC1" w:rsidRDefault="008F5EC1" w:rsidP="005B2285">
      <w:pPr>
        <w:spacing w:line="360" w:lineRule="auto"/>
        <w:jc w:val="both"/>
        <w:rPr>
          <w:rFonts w:ascii="Arial" w:hAnsi="Arial" w:cs="Arial"/>
          <w:color w:val="000000" w:themeColor="text1"/>
        </w:rPr>
      </w:pPr>
    </w:p>
    <w:p w14:paraId="45343550" w14:textId="77777777" w:rsidR="008F5EC1" w:rsidRPr="00242DFB" w:rsidRDefault="008F5EC1" w:rsidP="005B2285">
      <w:pPr>
        <w:spacing w:line="360" w:lineRule="auto"/>
        <w:jc w:val="both"/>
        <w:rPr>
          <w:rFonts w:ascii="Arial" w:hAnsi="Arial" w:cs="Arial"/>
          <w:color w:val="000000" w:themeColor="text1"/>
        </w:rPr>
      </w:pPr>
      <w:r w:rsidRPr="008F5EC1">
        <w:rPr>
          <w:rFonts w:ascii="Arial" w:hAnsi="Arial" w:cs="Arial"/>
          <w:color w:val="000000" w:themeColor="text1"/>
        </w:rPr>
        <w:t xml:space="preserve">En los dos casos se identificó una evolución clínica rápidamente progresiva, con deterioro materno severo en corto tiempo, presencia de complicaciones obstétricas agudas de alto riesgo y necesidad de intervenciones de alta complejidad, incluyendo </w:t>
      </w:r>
      <w:r w:rsidRPr="008F5EC1">
        <w:rPr>
          <w:rFonts w:ascii="Arial" w:hAnsi="Arial" w:cs="Arial"/>
          <w:color w:val="000000" w:themeColor="text1"/>
        </w:rPr>
        <w:lastRenderedPageBreak/>
        <w:t>unidad de cuidado intensivo, ventilación mecánica, transfusión masiva y manejo quirúrgico radical. A pesar del manejo especializado, se documentó persistencia de deterioro clínico irreversible. Estos elementos confirman la gravedad de los eventos, pero también resaltan la importancia de fortalecer las fases previas de la atención, particularmente la captación temprana, el seguimiento prenatal efectivo, la identificación de signos de alarma y la referencia oportuna.</w:t>
      </w:r>
    </w:p>
    <w:p w14:paraId="1561D39C" w14:textId="77777777" w:rsidR="008F5EC1" w:rsidRPr="00242DFB" w:rsidRDefault="008F5EC1" w:rsidP="005B2285">
      <w:pPr>
        <w:spacing w:line="360" w:lineRule="auto"/>
        <w:jc w:val="both"/>
        <w:rPr>
          <w:rFonts w:ascii="Arial" w:hAnsi="Arial" w:cs="Arial"/>
          <w:color w:val="000000" w:themeColor="text1"/>
        </w:rPr>
      </w:pPr>
    </w:p>
    <w:p w14:paraId="7EEE1DE4" w14:textId="68C0697F" w:rsidR="008F5EC1" w:rsidRPr="00242DFB" w:rsidRDefault="008F5EC1" w:rsidP="005B2285">
      <w:pPr>
        <w:spacing w:line="360" w:lineRule="auto"/>
        <w:jc w:val="both"/>
        <w:rPr>
          <w:rFonts w:ascii="Arial" w:hAnsi="Arial" w:cs="Arial"/>
          <w:color w:val="000000" w:themeColor="text1"/>
        </w:rPr>
      </w:pPr>
      <w:r w:rsidRPr="008F5EC1">
        <w:rPr>
          <w:rFonts w:ascii="Arial" w:hAnsi="Arial" w:cs="Arial"/>
          <w:color w:val="000000" w:themeColor="text1"/>
        </w:rPr>
        <w:t>Al contrastar estos eventos con los resultados de auditoría GAUDI e IVS de Capital Salud EPS-S</w:t>
      </w:r>
      <w:r w:rsidRPr="00242DFB">
        <w:rPr>
          <w:rStyle w:val="Refdenotaalpie"/>
          <w:rFonts w:ascii="Arial" w:hAnsi="Arial" w:cs="Arial"/>
          <w:color w:val="000000" w:themeColor="text1"/>
        </w:rPr>
        <w:footnoteReference w:id="6"/>
      </w:r>
      <w:r w:rsidRPr="008F5EC1">
        <w:rPr>
          <w:rFonts w:ascii="Arial" w:hAnsi="Arial" w:cs="Arial"/>
          <w:color w:val="000000" w:themeColor="text1"/>
        </w:rPr>
        <w:t>, se observa una relación técnica entre los desenlaces maternos analizados y las brechas identificadas en la implementación efectiva de la Ruta Integral de Atención Materno Perinatal. Los resultados GAUDI reportan incumplimientos en los criterios relacionados con la atención para el cuidado prenatal, la atención del parto y puerperio, y el cuidado y seguimiento del recién nacido. Estos hallazgos son especialmente relevantes frente a los casos descritos, dado que la ruta materno-perinatal exige garantizar intervenciones como exámenes de laboratorio, formulación y entrega de micronutrientes, esquema de vacunación, clasificación del riesgo gestacional y de preeclampsia, definición del plan de parto, atención segura del parto, seguimiento puerperal y control del recién nacido.</w:t>
      </w:r>
    </w:p>
    <w:p w14:paraId="470FFA7B" w14:textId="77777777" w:rsidR="008F5EC1" w:rsidRPr="008F5EC1" w:rsidRDefault="008F5EC1" w:rsidP="005B2285">
      <w:pPr>
        <w:spacing w:line="360" w:lineRule="auto"/>
        <w:jc w:val="both"/>
        <w:rPr>
          <w:rFonts w:ascii="Arial" w:hAnsi="Arial" w:cs="Arial"/>
          <w:color w:val="000000" w:themeColor="text1"/>
        </w:rPr>
      </w:pPr>
    </w:p>
    <w:p w14:paraId="0FFDC03F" w14:textId="77777777" w:rsidR="008F5EC1" w:rsidRPr="00242DFB" w:rsidRDefault="008F5EC1" w:rsidP="005B2285">
      <w:pPr>
        <w:spacing w:line="360" w:lineRule="auto"/>
        <w:jc w:val="both"/>
        <w:rPr>
          <w:rFonts w:ascii="Arial" w:hAnsi="Arial" w:cs="Arial"/>
          <w:color w:val="000000" w:themeColor="text1"/>
        </w:rPr>
      </w:pPr>
      <w:r w:rsidRPr="008F5EC1">
        <w:rPr>
          <w:rFonts w:ascii="Arial" w:hAnsi="Arial" w:cs="Arial"/>
          <w:color w:val="000000" w:themeColor="text1"/>
        </w:rPr>
        <w:t>Desde esta perspectiva, la mortalidad materna no debe interpretarse únicamente como un desenlace clínico aislado, sino como un evento trazador de la capacidad real de la EPS para gestionar integralmente el riesgo materno-perinatal. La ocurrencia de estos casos, sumada a una RMM superior al promedio distrital y a los hallazgos de auditoría, sugiere oportunidades de mejora en la identificación nominal de gestantes, búsqueda activa de inasistentes, seguimiento a gestantes con baja adherencia al control prenatal, gestión de barreras de acceso, articulación con la red primaria y complementaria, y activación oportuna de rutas de referencia ante signos de alarma.</w:t>
      </w:r>
    </w:p>
    <w:p w14:paraId="36F51C3B" w14:textId="77777777" w:rsidR="008F5EC1" w:rsidRPr="008F5EC1" w:rsidRDefault="008F5EC1" w:rsidP="005B2285">
      <w:pPr>
        <w:spacing w:line="360" w:lineRule="auto"/>
        <w:jc w:val="both"/>
        <w:rPr>
          <w:rFonts w:ascii="Arial" w:hAnsi="Arial" w:cs="Arial"/>
          <w:color w:val="000000" w:themeColor="text1"/>
        </w:rPr>
      </w:pPr>
    </w:p>
    <w:p w14:paraId="14C4F3A7" w14:textId="77777777" w:rsidR="008F5EC1" w:rsidRPr="00242DFB" w:rsidRDefault="008F5EC1" w:rsidP="005B2285">
      <w:pPr>
        <w:spacing w:line="360" w:lineRule="auto"/>
        <w:jc w:val="both"/>
        <w:rPr>
          <w:rFonts w:ascii="Arial" w:hAnsi="Arial" w:cs="Arial"/>
          <w:color w:val="000000" w:themeColor="text1"/>
        </w:rPr>
      </w:pPr>
      <w:r w:rsidRPr="008F5EC1">
        <w:rPr>
          <w:rFonts w:ascii="Arial" w:hAnsi="Arial" w:cs="Arial"/>
          <w:color w:val="000000" w:themeColor="text1"/>
        </w:rPr>
        <w:t>De manera complementaria, los resultados de IVS muestran alertas en gestión del riesgo relacionadas con la atención integral de mujeres en edad fértil, gestantes y recién nacidos, así como brechas en coberturas de vacunación, valoración integral por curso de vida y gestión efectiva de usuarios canalizados por la Entidad Territorial. Estos elementos refuerzan la necesidad de consolidar un seguimiento nominal y continuo de la cohorte materno-perinatal, con trazabilidad de las intervenciones ordenadas, verificación del cierre efectivo de actividades, monitoreo de inasistencias y priorización de gestantes con condiciones clínicas o sociales de vulnerabilidad.</w:t>
      </w:r>
    </w:p>
    <w:p w14:paraId="2B940A23" w14:textId="77777777" w:rsidR="008F5EC1" w:rsidRPr="008F5EC1" w:rsidRDefault="008F5EC1" w:rsidP="005B2285">
      <w:pPr>
        <w:spacing w:line="360" w:lineRule="auto"/>
        <w:jc w:val="both"/>
        <w:rPr>
          <w:rFonts w:ascii="Arial" w:hAnsi="Arial" w:cs="Arial"/>
          <w:color w:val="000000" w:themeColor="text1"/>
        </w:rPr>
      </w:pPr>
    </w:p>
    <w:p w14:paraId="62C3FB13" w14:textId="77777777" w:rsidR="008F5EC1" w:rsidRPr="008F5EC1" w:rsidRDefault="008F5EC1" w:rsidP="005B2285">
      <w:pPr>
        <w:spacing w:line="360" w:lineRule="auto"/>
        <w:jc w:val="both"/>
        <w:rPr>
          <w:rFonts w:ascii="Arial" w:hAnsi="Arial" w:cs="Arial"/>
          <w:color w:val="000000" w:themeColor="text1"/>
        </w:rPr>
      </w:pPr>
      <w:r w:rsidRPr="008F5EC1">
        <w:rPr>
          <w:rFonts w:ascii="Arial" w:hAnsi="Arial" w:cs="Arial"/>
          <w:color w:val="000000" w:themeColor="text1"/>
        </w:rPr>
        <w:t>En conclusión, los dos casos de mortalidad materna registrados en Capital Salud EPS-S durante 2025 constituyen una alerta crítica frente a la gestión integral del riesgo materno-perinatal. Si bien ambos eventos presentaron una evolución clínica severa y requirieron intervenciones de alta complejidad, los hallazgos clínicos, el comportamiento comparativo frente a Bogotá y los resultados de auditoría evidencian oportunidades de mejora en captación temprana, adherencia al control prenatal, clasificación del riesgo, seguimiento continuo, activación de rutas y continuidad del cuidado. Por tanto, se recomienda que la EPS priorice un plan de mejoramiento específico para la cohorte materno-perinatal, con acciones verificables sobre identificación nominal de gestantes, control prenatal oportuno, seguimiento a gestantes de riesgo, gestión de barreras de acceso, trazabilidad de remisiones, articulación con la red prestadora y evaluación periódica de desenlaces maternos y perinatales.</w:t>
      </w:r>
    </w:p>
    <w:p w14:paraId="7DA762FD" w14:textId="77777777" w:rsidR="004675CD" w:rsidRPr="00242DFB" w:rsidRDefault="004675CD" w:rsidP="005B2285">
      <w:pPr>
        <w:spacing w:line="360" w:lineRule="auto"/>
        <w:jc w:val="both"/>
        <w:rPr>
          <w:rFonts w:ascii="Arial" w:hAnsi="Arial" w:cs="Arial"/>
          <w:color w:val="000000" w:themeColor="text1"/>
        </w:rPr>
      </w:pPr>
    </w:p>
    <w:p w14:paraId="36A67228" w14:textId="6B17C6C4" w:rsidR="009F762E" w:rsidRPr="00242DFB" w:rsidRDefault="00947E1B" w:rsidP="005B2285">
      <w:pPr>
        <w:pStyle w:val="Ttulo2"/>
        <w:numPr>
          <w:ilvl w:val="1"/>
          <w:numId w:val="7"/>
        </w:numPr>
        <w:spacing w:before="0" w:line="360" w:lineRule="auto"/>
        <w:jc w:val="both"/>
        <w:rPr>
          <w:rFonts w:ascii="Arial" w:hAnsi="Arial" w:cs="Arial"/>
          <w:b/>
          <w:bCs/>
          <w:color w:val="000000" w:themeColor="text1"/>
          <w:kern w:val="2"/>
          <w:sz w:val="24"/>
          <w:szCs w:val="24"/>
          <w:lang w:eastAsia="en-US"/>
          <w14:ligatures w14:val="standardContextual"/>
        </w:rPr>
      </w:pPr>
      <w:bookmarkStart w:id="64" w:name="__RefHeading___Toc8594_542869190"/>
      <w:bookmarkStart w:id="65" w:name="_Toc230853772"/>
      <w:bookmarkEnd w:id="64"/>
      <w:r w:rsidRPr="00242DFB">
        <w:rPr>
          <w:rFonts w:ascii="Arial" w:hAnsi="Arial" w:cs="Arial"/>
          <w:b/>
          <w:bCs/>
          <w:color w:val="000000"/>
          <w:sz w:val="24"/>
          <w:szCs w:val="24"/>
        </w:rPr>
        <w:t xml:space="preserve"> </w:t>
      </w:r>
      <w:bookmarkStart w:id="66" w:name="_Toc233574836"/>
      <w:r w:rsidR="00000000" w:rsidRPr="00242DFB">
        <w:rPr>
          <w:rFonts w:ascii="Arial" w:hAnsi="Arial" w:cs="Arial"/>
          <w:b/>
          <w:bCs/>
          <w:color w:val="000000"/>
          <w:sz w:val="24"/>
          <w:szCs w:val="24"/>
        </w:rPr>
        <w:t>Mortalidad Infantil</w:t>
      </w:r>
      <w:bookmarkEnd w:id="65"/>
      <w:bookmarkEnd w:id="66"/>
      <w:r w:rsidR="00000000" w:rsidRPr="00242DFB">
        <w:rPr>
          <w:rFonts w:ascii="Arial" w:hAnsi="Arial" w:cs="Arial"/>
          <w:b/>
          <w:bCs/>
          <w:color w:val="000000"/>
          <w:sz w:val="24"/>
          <w:szCs w:val="24"/>
        </w:rPr>
        <w:t> </w:t>
      </w:r>
    </w:p>
    <w:p w14:paraId="2A763170" w14:textId="77777777" w:rsidR="009F762E" w:rsidRPr="00242DFB" w:rsidRDefault="009F762E" w:rsidP="005B2285">
      <w:pPr>
        <w:spacing w:line="360" w:lineRule="auto"/>
        <w:rPr>
          <w:rFonts w:ascii="Arial" w:eastAsia="Arial" w:hAnsi="Arial" w:cs="Arial"/>
          <w:color w:val="000000" w:themeColor="text1"/>
        </w:rPr>
      </w:pPr>
    </w:p>
    <w:p w14:paraId="68F695DD" w14:textId="3359DE81" w:rsidR="009F762E" w:rsidRPr="00242DFB" w:rsidRDefault="00F80AD4" w:rsidP="005B2285">
      <w:pPr>
        <w:spacing w:line="360" w:lineRule="auto"/>
        <w:jc w:val="both"/>
        <w:rPr>
          <w:rFonts w:ascii="Arial" w:hAnsi="Arial" w:cs="Arial"/>
          <w:color w:val="000000" w:themeColor="text1"/>
        </w:rPr>
      </w:pPr>
      <w:r w:rsidRPr="00242DFB">
        <w:rPr>
          <w:rFonts w:ascii="Arial" w:hAnsi="Arial" w:cs="Arial"/>
          <w:color w:val="000000" w:themeColor="text1"/>
        </w:rPr>
        <w:t xml:space="preserve">En la población afiliada a Capital Salud EPS-S en Bogotá, durante el periodo enero-diciembre de 2025, se registraron 67 casos de mortalidad infantil sobre un total de 56.541 nacimientos, para una tasa general de 1,18 casos por cada 1.000 nacidos vivos. Aunque en términos agregados la magnitud del evento puede considerarse </w:t>
      </w:r>
      <w:r w:rsidRPr="00242DFB">
        <w:rPr>
          <w:rFonts w:ascii="Arial" w:hAnsi="Arial" w:cs="Arial"/>
          <w:color w:val="000000" w:themeColor="text1"/>
        </w:rPr>
        <w:lastRenderedPageBreak/>
        <w:t>relativamente baja, la mortalidad infantil debe analizarse como un evento trazador de la calidad, oportunidad, continuidad e integralidad de la atención materno-perinatal, neonatal y del seguimiento en primera infancia.</w:t>
      </w:r>
    </w:p>
    <w:p w14:paraId="741AE7CE" w14:textId="77777777" w:rsidR="00F80AD4" w:rsidRPr="00242DFB" w:rsidRDefault="00F80AD4" w:rsidP="005B2285">
      <w:pPr>
        <w:spacing w:line="360" w:lineRule="auto"/>
        <w:ind w:left="720"/>
        <w:jc w:val="center"/>
        <w:rPr>
          <w:rFonts w:ascii="Arial" w:hAnsi="Arial" w:cs="Arial"/>
          <w:color w:val="000000" w:themeColor="text1"/>
        </w:rPr>
      </w:pPr>
    </w:p>
    <w:p w14:paraId="106A778A" w14:textId="45F4C9F8" w:rsidR="00772EDC" w:rsidRPr="00242DFB" w:rsidRDefault="00772EDC" w:rsidP="005B2285">
      <w:pPr>
        <w:pStyle w:val="Descripcin"/>
        <w:keepNext/>
        <w:spacing w:after="0"/>
        <w:jc w:val="center"/>
        <w:rPr>
          <w:rFonts w:ascii="Arial" w:hAnsi="Arial" w:cs="Arial"/>
          <w:color w:val="000000" w:themeColor="text1"/>
          <w:sz w:val="22"/>
          <w:szCs w:val="22"/>
        </w:rPr>
      </w:pPr>
      <w:bookmarkStart w:id="67" w:name="_Toc233574872"/>
      <w:r w:rsidRPr="00242DFB">
        <w:rPr>
          <w:rFonts w:ascii="Arial" w:hAnsi="Arial" w:cs="Arial"/>
          <w:color w:val="000000" w:themeColor="text1"/>
          <w:sz w:val="22"/>
          <w:szCs w:val="22"/>
        </w:rPr>
        <w:t xml:space="preserve">Tabla </w:t>
      </w:r>
      <w:r w:rsidRPr="00242DFB">
        <w:rPr>
          <w:rFonts w:ascii="Arial" w:hAnsi="Arial" w:cs="Arial"/>
          <w:color w:val="000000" w:themeColor="text1"/>
          <w:sz w:val="22"/>
          <w:szCs w:val="22"/>
        </w:rPr>
        <w:fldChar w:fldCharType="begin"/>
      </w:r>
      <w:r w:rsidRPr="00242DFB">
        <w:rPr>
          <w:rFonts w:ascii="Arial" w:hAnsi="Arial" w:cs="Arial"/>
          <w:color w:val="000000" w:themeColor="text1"/>
          <w:sz w:val="22"/>
          <w:szCs w:val="22"/>
        </w:rPr>
        <w:instrText xml:space="preserve"> SEQ Tabla \* ARABIC </w:instrText>
      </w:r>
      <w:r w:rsidRPr="00242DFB">
        <w:rPr>
          <w:rFonts w:ascii="Arial" w:hAnsi="Arial" w:cs="Arial"/>
          <w:color w:val="000000" w:themeColor="text1"/>
          <w:sz w:val="22"/>
          <w:szCs w:val="22"/>
        </w:rPr>
        <w:fldChar w:fldCharType="separate"/>
      </w:r>
      <w:r w:rsidR="00B1210D">
        <w:rPr>
          <w:rFonts w:ascii="Arial" w:hAnsi="Arial" w:cs="Arial"/>
          <w:noProof/>
          <w:color w:val="000000" w:themeColor="text1"/>
          <w:sz w:val="22"/>
          <w:szCs w:val="22"/>
        </w:rPr>
        <w:t>12</w:t>
      </w:r>
      <w:r w:rsidRPr="00242DFB">
        <w:rPr>
          <w:rFonts w:ascii="Arial" w:hAnsi="Arial" w:cs="Arial"/>
          <w:color w:val="000000" w:themeColor="text1"/>
          <w:sz w:val="22"/>
          <w:szCs w:val="22"/>
        </w:rPr>
        <w:fldChar w:fldCharType="end"/>
      </w:r>
      <w:r w:rsidRPr="00242DFB">
        <w:rPr>
          <w:rFonts w:ascii="Arial" w:hAnsi="Arial" w:cs="Arial"/>
          <w:color w:val="000000" w:themeColor="text1"/>
          <w:sz w:val="22"/>
          <w:szCs w:val="22"/>
        </w:rPr>
        <w:t>.  Casos y tasas de mortalidad infantil en Capital Salud EPS-S, Bogotá D.C., enero-diciembre de 2025</w:t>
      </w:r>
      <w:bookmarkEnd w:id="67"/>
    </w:p>
    <w:tbl>
      <w:tblPr>
        <w:tblW w:w="7706" w:type="dxa"/>
        <w:jc w:val="center"/>
        <w:tblLayout w:type="fixed"/>
        <w:tblCellMar>
          <w:left w:w="70" w:type="dxa"/>
          <w:right w:w="70" w:type="dxa"/>
        </w:tblCellMar>
        <w:tblLook w:val="04A0" w:firstRow="1" w:lastRow="0" w:firstColumn="1" w:lastColumn="0" w:noHBand="0" w:noVBand="1"/>
      </w:tblPr>
      <w:tblGrid>
        <w:gridCol w:w="2639"/>
        <w:gridCol w:w="1590"/>
        <w:gridCol w:w="1889"/>
        <w:gridCol w:w="1588"/>
      </w:tblGrid>
      <w:tr w:rsidR="009F762E" w:rsidRPr="00242DFB" w14:paraId="1C8625F5" w14:textId="77777777" w:rsidTr="00F80AD4">
        <w:trPr>
          <w:cantSplit/>
          <w:trHeight w:val="247"/>
          <w:tblHeader/>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5EDD90D9"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Localidad</w:t>
            </w:r>
          </w:p>
        </w:tc>
        <w:tc>
          <w:tcPr>
            <w:tcW w:w="1590" w:type="dxa"/>
            <w:tcBorders>
              <w:top w:val="single" w:sz="4" w:space="0" w:color="000000"/>
              <w:left w:val="single" w:sz="4" w:space="0" w:color="000000"/>
              <w:bottom w:val="single" w:sz="4" w:space="0" w:color="000000"/>
              <w:right w:val="single" w:sz="4" w:space="0" w:color="000000"/>
            </w:tcBorders>
            <w:vAlign w:val="center"/>
          </w:tcPr>
          <w:p w14:paraId="750ABAF5"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Casos</w:t>
            </w:r>
          </w:p>
        </w:tc>
        <w:tc>
          <w:tcPr>
            <w:tcW w:w="1889" w:type="dxa"/>
            <w:tcBorders>
              <w:top w:val="single" w:sz="4" w:space="0" w:color="000000"/>
              <w:left w:val="single" w:sz="4" w:space="0" w:color="000000"/>
              <w:bottom w:val="single" w:sz="4" w:space="0" w:color="000000"/>
              <w:right w:val="single" w:sz="4" w:space="0" w:color="000000"/>
            </w:tcBorders>
            <w:vAlign w:val="center"/>
          </w:tcPr>
          <w:p w14:paraId="37B338F3"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Nacimientos</w:t>
            </w:r>
          </w:p>
        </w:tc>
        <w:tc>
          <w:tcPr>
            <w:tcW w:w="1588" w:type="dxa"/>
            <w:tcBorders>
              <w:top w:val="single" w:sz="4" w:space="0" w:color="000000"/>
              <w:left w:val="single" w:sz="4" w:space="0" w:color="000000"/>
              <w:bottom w:val="single" w:sz="4" w:space="0" w:color="000000"/>
              <w:right w:val="single" w:sz="4" w:space="0" w:color="000000"/>
            </w:tcBorders>
            <w:vAlign w:val="center"/>
          </w:tcPr>
          <w:p w14:paraId="719C8423"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 xml:space="preserve">Tasa </w:t>
            </w:r>
          </w:p>
        </w:tc>
      </w:tr>
      <w:tr w:rsidR="009F762E" w:rsidRPr="00242DFB" w14:paraId="39DE247D" w14:textId="77777777" w:rsidTr="00F80AD4">
        <w:trPr>
          <w:cantSplit/>
          <w:trHeight w:val="247"/>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616AE990"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1-Usaquen</w:t>
            </w:r>
          </w:p>
        </w:tc>
        <w:tc>
          <w:tcPr>
            <w:tcW w:w="1590" w:type="dxa"/>
            <w:tcBorders>
              <w:top w:val="single" w:sz="4" w:space="0" w:color="000000"/>
              <w:left w:val="single" w:sz="4" w:space="0" w:color="000000"/>
              <w:bottom w:val="single" w:sz="4" w:space="0" w:color="000000"/>
              <w:right w:val="single" w:sz="4" w:space="0" w:color="000000"/>
            </w:tcBorders>
            <w:vAlign w:val="center"/>
          </w:tcPr>
          <w:p w14:paraId="5D8F370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5</w:t>
            </w:r>
          </w:p>
        </w:tc>
        <w:tc>
          <w:tcPr>
            <w:tcW w:w="1889" w:type="dxa"/>
            <w:tcBorders>
              <w:top w:val="single" w:sz="4" w:space="0" w:color="000000"/>
              <w:left w:val="single" w:sz="4" w:space="0" w:color="000000"/>
              <w:bottom w:val="single" w:sz="4" w:space="0" w:color="000000"/>
              <w:right w:val="single" w:sz="4" w:space="0" w:color="000000"/>
            </w:tcBorders>
            <w:vAlign w:val="center"/>
          </w:tcPr>
          <w:p w14:paraId="5A3F72E4"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3842</w:t>
            </w:r>
          </w:p>
        </w:tc>
        <w:tc>
          <w:tcPr>
            <w:tcW w:w="1588" w:type="dxa"/>
            <w:tcBorders>
              <w:top w:val="single" w:sz="4" w:space="0" w:color="000000"/>
              <w:left w:val="single" w:sz="4" w:space="0" w:color="000000"/>
              <w:bottom w:val="single" w:sz="4" w:space="0" w:color="000000"/>
              <w:right w:val="single" w:sz="4" w:space="0" w:color="000000"/>
            </w:tcBorders>
            <w:vAlign w:val="center"/>
          </w:tcPr>
          <w:p w14:paraId="4F27831F"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1,3</w:t>
            </w:r>
          </w:p>
        </w:tc>
      </w:tr>
      <w:tr w:rsidR="009F762E" w:rsidRPr="00242DFB" w14:paraId="748FB11C"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1A2A9C4A"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2-Chapinero</w:t>
            </w:r>
          </w:p>
        </w:tc>
        <w:tc>
          <w:tcPr>
            <w:tcW w:w="1590" w:type="dxa"/>
            <w:tcBorders>
              <w:top w:val="single" w:sz="4" w:space="0" w:color="000000"/>
              <w:left w:val="single" w:sz="4" w:space="0" w:color="000000"/>
              <w:bottom w:val="single" w:sz="4" w:space="0" w:color="000000"/>
              <w:right w:val="single" w:sz="4" w:space="0" w:color="000000"/>
            </w:tcBorders>
            <w:vAlign w:val="center"/>
          </w:tcPr>
          <w:p w14:paraId="6FBA844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w:t>
            </w:r>
          </w:p>
        </w:tc>
        <w:tc>
          <w:tcPr>
            <w:tcW w:w="1889" w:type="dxa"/>
            <w:tcBorders>
              <w:top w:val="single" w:sz="4" w:space="0" w:color="000000"/>
              <w:left w:val="single" w:sz="4" w:space="0" w:color="000000"/>
              <w:bottom w:val="single" w:sz="4" w:space="0" w:color="000000"/>
              <w:right w:val="single" w:sz="4" w:space="0" w:color="000000"/>
            </w:tcBorders>
            <w:vAlign w:val="center"/>
          </w:tcPr>
          <w:p w14:paraId="6172210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1164</w:t>
            </w:r>
          </w:p>
        </w:tc>
        <w:tc>
          <w:tcPr>
            <w:tcW w:w="1588" w:type="dxa"/>
            <w:tcBorders>
              <w:top w:val="single" w:sz="4" w:space="0" w:color="000000"/>
              <w:left w:val="single" w:sz="4" w:space="0" w:color="000000"/>
              <w:bottom w:val="single" w:sz="4" w:space="0" w:color="000000"/>
              <w:right w:val="single" w:sz="4" w:space="0" w:color="000000"/>
            </w:tcBorders>
            <w:vAlign w:val="center"/>
          </w:tcPr>
          <w:p w14:paraId="726A56C5"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0,9</w:t>
            </w:r>
          </w:p>
        </w:tc>
      </w:tr>
      <w:tr w:rsidR="009F762E" w:rsidRPr="00242DFB" w14:paraId="1435C9A0"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478A6E97"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3-Santa Fe</w:t>
            </w:r>
          </w:p>
        </w:tc>
        <w:tc>
          <w:tcPr>
            <w:tcW w:w="1590" w:type="dxa"/>
            <w:tcBorders>
              <w:top w:val="single" w:sz="4" w:space="0" w:color="000000"/>
              <w:left w:val="single" w:sz="4" w:space="0" w:color="000000"/>
              <w:bottom w:val="single" w:sz="4" w:space="0" w:color="000000"/>
              <w:right w:val="single" w:sz="4" w:space="0" w:color="000000"/>
            </w:tcBorders>
            <w:vAlign w:val="center"/>
          </w:tcPr>
          <w:p w14:paraId="24C1749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4</w:t>
            </w:r>
          </w:p>
        </w:tc>
        <w:tc>
          <w:tcPr>
            <w:tcW w:w="1889" w:type="dxa"/>
            <w:tcBorders>
              <w:top w:val="single" w:sz="4" w:space="0" w:color="000000"/>
              <w:left w:val="single" w:sz="4" w:space="0" w:color="000000"/>
              <w:bottom w:val="single" w:sz="4" w:space="0" w:color="000000"/>
              <w:right w:val="single" w:sz="4" w:space="0" w:color="000000"/>
            </w:tcBorders>
            <w:vAlign w:val="center"/>
          </w:tcPr>
          <w:p w14:paraId="2CA2A79D"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978</w:t>
            </w:r>
          </w:p>
        </w:tc>
        <w:tc>
          <w:tcPr>
            <w:tcW w:w="1588" w:type="dxa"/>
            <w:tcBorders>
              <w:top w:val="single" w:sz="4" w:space="0" w:color="000000"/>
              <w:left w:val="single" w:sz="4" w:space="0" w:color="000000"/>
              <w:bottom w:val="single" w:sz="4" w:space="0" w:color="000000"/>
              <w:right w:val="single" w:sz="4" w:space="0" w:color="000000"/>
            </w:tcBorders>
            <w:vAlign w:val="center"/>
          </w:tcPr>
          <w:p w14:paraId="7704F4F1"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4,1</w:t>
            </w:r>
          </w:p>
        </w:tc>
      </w:tr>
      <w:tr w:rsidR="009F762E" w:rsidRPr="00242DFB" w14:paraId="4E193582"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6E84AD34" w14:textId="4C5C44D4"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 xml:space="preserve">4-San </w:t>
            </w:r>
            <w:r w:rsidR="000C5813" w:rsidRPr="00242DFB">
              <w:rPr>
                <w:rFonts w:ascii="Arial" w:eastAsia="Aptos Narrow" w:hAnsi="Arial" w:cs="Arial"/>
                <w:color w:val="000000" w:themeColor="text1"/>
              </w:rPr>
              <w:t>Cristóbal</w:t>
            </w:r>
          </w:p>
        </w:tc>
        <w:tc>
          <w:tcPr>
            <w:tcW w:w="1590" w:type="dxa"/>
            <w:tcBorders>
              <w:top w:val="single" w:sz="4" w:space="0" w:color="000000"/>
              <w:left w:val="single" w:sz="4" w:space="0" w:color="000000"/>
              <w:bottom w:val="single" w:sz="4" w:space="0" w:color="000000"/>
              <w:right w:val="single" w:sz="4" w:space="0" w:color="000000"/>
            </w:tcBorders>
            <w:vAlign w:val="center"/>
          </w:tcPr>
          <w:p w14:paraId="72F598ED"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6</w:t>
            </w:r>
          </w:p>
        </w:tc>
        <w:tc>
          <w:tcPr>
            <w:tcW w:w="1889" w:type="dxa"/>
            <w:tcBorders>
              <w:top w:val="single" w:sz="4" w:space="0" w:color="000000"/>
              <w:left w:val="single" w:sz="4" w:space="0" w:color="000000"/>
              <w:bottom w:val="single" w:sz="4" w:space="0" w:color="000000"/>
              <w:right w:val="single" w:sz="4" w:space="0" w:color="000000"/>
            </w:tcBorders>
            <w:vAlign w:val="center"/>
          </w:tcPr>
          <w:p w14:paraId="52F8B1CF"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2876</w:t>
            </w:r>
          </w:p>
        </w:tc>
        <w:tc>
          <w:tcPr>
            <w:tcW w:w="1588" w:type="dxa"/>
            <w:tcBorders>
              <w:top w:val="single" w:sz="4" w:space="0" w:color="000000"/>
              <w:left w:val="single" w:sz="4" w:space="0" w:color="000000"/>
              <w:bottom w:val="single" w:sz="4" w:space="0" w:color="000000"/>
              <w:right w:val="single" w:sz="4" w:space="0" w:color="000000"/>
            </w:tcBorders>
            <w:vAlign w:val="center"/>
          </w:tcPr>
          <w:p w14:paraId="29CA39D4"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2,1</w:t>
            </w:r>
          </w:p>
        </w:tc>
      </w:tr>
      <w:tr w:rsidR="009F762E" w:rsidRPr="00242DFB" w14:paraId="547591A4"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38269E9C"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5-Usme</w:t>
            </w:r>
          </w:p>
        </w:tc>
        <w:tc>
          <w:tcPr>
            <w:tcW w:w="1590" w:type="dxa"/>
            <w:tcBorders>
              <w:top w:val="single" w:sz="4" w:space="0" w:color="000000"/>
              <w:left w:val="single" w:sz="4" w:space="0" w:color="000000"/>
              <w:bottom w:val="single" w:sz="4" w:space="0" w:color="000000"/>
              <w:right w:val="single" w:sz="4" w:space="0" w:color="000000"/>
            </w:tcBorders>
            <w:vAlign w:val="center"/>
          </w:tcPr>
          <w:p w14:paraId="3C9F8D1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7</w:t>
            </w:r>
          </w:p>
        </w:tc>
        <w:tc>
          <w:tcPr>
            <w:tcW w:w="1889" w:type="dxa"/>
            <w:tcBorders>
              <w:top w:val="single" w:sz="4" w:space="0" w:color="000000"/>
              <w:left w:val="single" w:sz="4" w:space="0" w:color="000000"/>
              <w:bottom w:val="single" w:sz="4" w:space="0" w:color="000000"/>
              <w:right w:val="single" w:sz="4" w:space="0" w:color="000000"/>
            </w:tcBorders>
            <w:vAlign w:val="center"/>
          </w:tcPr>
          <w:p w14:paraId="4FF514C2"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3010</w:t>
            </w:r>
          </w:p>
        </w:tc>
        <w:tc>
          <w:tcPr>
            <w:tcW w:w="1588" w:type="dxa"/>
            <w:tcBorders>
              <w:top w:val="single" w:sz="4" w:space="0" w:color="000000"/>
              <w:left w:val="single" w:sz="4" w:space="0" w:color="000000"/>
              <w:bottom w:val="single" w:sz="4" w:space="0" w:color="000000"/>
              <w:right w:val="single" w:sz="4" w:space="0" w:color="000000"/>
            </w:tcBorders>
            <w:vAlign w:val="center"/>
          </w:tcPr>
          <w:p w14:paraId="082A290D"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2,3</w:t>
            </w:r>
          </w:p>
        </w:tc>
      </w:tr>
      <w:tr w:rsidR="009F762E" w:rsidRPr="00242DFB" w14:paraId="426BC12C"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3D612A14"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6-Tunjuelito</w:t>
            </w:r>
          </w:p>
        </w:tc>
        <w:tc>
          <w:tcPr>
            <w:tcW w:w="1590" w:type="dxa"/>
            <w:tcBorders>
              <w:top w:val="single" w:sz="4" w:space="0" w:color="000000"/>
              <w:left w:val="single" w:sz="4" w:space="0" w:color="000000"/>
              <w:bottom w:val="single" w:sz="4" w:space="0" w:color="000000"/>
              <w:right w:val="single" w:sz="4" w:space="0" w:color="000000"/>
            </w:tcBorders>
            <w:vAlign w:val="center"/>
          </w:tcPr>
          <w:p w14:paraId="53981183"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2</w:t>
            </w:r>
          </w:p>
        </w:tc>
        <w:tc>
          <w:tcPr>
            <w:tcW w:w="1889" w:type="dxa"/>
            <w:tcBorders>
              <w:top w:val="single" w:sz="4" w:space="0" w:color="000000"/>
              <w:left w:val="single" w:sz="4" w:space="0" w:color="000000"/>
              <w:bottom w:val="single" w:sz="4" w:space="0" w:color="000000"/>
              <w:right w:val="single" w:sz="4" w:space="0" w:color="000000"/>
            </w:tcBorders>
            <w:vAlign w:val="center"/>
          </w:tcPr>
          <w:p w14:paraId="0BE4BD0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1336</w:t>
            </w:r>
          </w:p>
        </w:tc>
        <w:tc>
          <w:tcPr>
            <w:tcW w:w="1588" w:type="dxa"/>
            <w:tcBorders>
              <w:top w:val="single" w:sz="4" w:space="0" w:color="000000"/>
              <w:left w:val="single" w:sz="4" w:space="0" w:color="000000"/>
              <w:bottom w:val="single" w:sz="4" w:space="0" w:color="000000"/>
              <w:right w:val="single" w:sz="4" w:space="0" w:color="000000"/>
            </w:tcBorders>
            <w:vAlign w:val="center"/>
          </w:tcPr>
          <w:p w14:paraId="6134D211"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1,5</w:t>
            </w:r>
          </w:p>
        </w:tc>
      </w:tr>
      <w:tr w:rsidR="009F762E" w:rsidRPr="00242DFB" w14:paraId="5A82B248"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3ADE9D83"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7-Bosa</w:t>
            </w:r>
          </w:p>
        </w:tc>
        <w:tc>
          <w:tcPr>
            <w:tcW w:w="1590" w:type="dxa"/>
            <w:tcBorders>
              <w:top w:val="single" w:sz="4" w:space="0" w:color="000000"/>
              <w:left w:val="single" w:sz="4" w:space="0" w:color="000000"/>
              <w:bottom w:val="single" w:sz="4" w:space="0" w:color="000000"/>
              <w:right w:val="single" w:sz="4" w:space="0" w:color="000000"/>
            </w:tcBorders>
            <w:vAlign w:val="center"/>
          </w:tcPr>
          <w:p w14:paraId="094D6CF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5</w:t>
            </w:r>
          </w:p>
        </w:tc>
        <w:tc>
          <w:tcPr>
            <w:tcW w:w="1889" w:type="dxa"/>
            <w:tcBorders>
              <w:top w:val="single" w:sz="4" w:space="0" w:color="000000"/>
              <w:left w:val="single" w:sz="4" w:space="0" w:color="000000"/>
              <w:bottom w:val="single" w:sz="4" w:space="0" w:color="000000"/>
              <w:right w:val="single" w:sz="4" w:space="0" w:color="000000"/>
            </w:tcBorders>
            <w:vAlign w:val="center"/>
          </w:tcPr>
          <w:p w14:paraId="7A5A8A1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5739</w:t>
            </w:r>
          </w:p>
        </w:tc>
        <w:tc>
          <w:tcPr>
            <w:tcW w:w="1588" w:type="dxa"/>
            <w:tcBorders>
              <w:top w:val="single" w:sz="4" w:space="0" w:color="000000"/>
              <w:left w:val="single" w:sz="4" w:space="0" w:color="000000"/>
              <w:bottom w:val="single" w:sz="4" w:space="0" w:color="000000"/>
              <w:right w:val="single" w:sz="4" w:space="0" w:color="000000"/>
            </w:tcBorders>
            <w:vAlign w:val="center"/>
          </w:tcPr>
          <w:p w14:paraId="7E714576"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0,9</w:t>
            </w:r>
          </w:p>
        </w:tc>
      </w:tr>
      <w:tr w:rsidR="009F762E" w:rsidRPr="00242DFB" w14:paraId="48D1BE41"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62FE5C14"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8-Kennedy</w:t>
            </w:r>
          </w:p>
        </w:tc>
        <w:tc>
          <w:tcPr>
            <w:tcW w:w="1590" w:type="dxa"/>
            <w:tcBorders>
              <w:top w:val="single" w:sz="4" w:space="0" w:color="000000"/>
              <w:left w:val="single" w:sz="4" w:space="0" w:color="000000"/>
              <w:bottom w:val="single" w:sz="4" w:space="0" w:color="000000"/>
              <w:right w:val="single" w:sz="4" w:space="0" w:color="000000"/>
            </w:tcBorders>
            <w:vAlign w:val="center"/>
          </w:tcPr>
          <w:p w14:paraId="531F68FF"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8</w:t>
            </w:r>
          </w:p>
        </w:tc>
        <w:tc>
          <w:tcPr>
            <w:tcW w:w="1889" w:type="dxa"/>
            <w:tcBorders>
              <w:top w:val="single" w:sz="4" w:space="0" w:color="000000"/>
              <w:left w:val="single" w:sz="4" w:space="0" w:color="000000"/>
              <w:bottom w:val="single" w:sz="4" w:space="0" w:color="000000"/>
              <w:right w:val="single" w:sz="4" w:space="0" w:color="000000"/>
            </w:tcBorders>
            <w:vAlign w:val="center"/>
          </w:tcPr>
          <w:p w14:paraId="770BD08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7890</w:t>
            </w:r>
          </w:p>
        </w:tc>
        <w:tc>
          <w:tcPr>
            <w:tcW w:w="1588" w:type="dxa"/>
            <w:tcBorders>
              <w:top w:val="single" w:sz="4" w:space="0" w:color="000000"/>
              <w:left w:val="single" w:sz="4" w:space="0" w:color="000000"/>
              <w:bottom w:val="single" w:sz="4" w:space="0" w:color="000000"/>
              <w:right w:val="single" w:sz="4" w:space="0" w:color="000000"/>
            </w:tcBorders>
            <w:vAlign w:val="center"/>
          </w:tcPr>
          <w:p w14:paraId="1B4BDFB4"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1,0</w:t>
            </w:r>
          </w:p>
        </w:tc>
      </w:tr>
      <w:tr w:rsidR="009F762E" w:rsidRPr="00242DFB" w14:paraId="7838FB90" w14:textId="77777777" w:rsidTr="00F80AD4">
        <w:trPr>
          <w:cantSplit/>
          <w:trHeight w:val="275"/>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317C907E" w14:textId="7351F156"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9-Fontib</w:t>
            </w:r>
            <w:r w:rsidR="004A3E4C">
              <w:rPr>
                <w:rFonts w:ascii="Arial" w:eastAsia="Aptos Narrow" w:hAnsi="Arial" w:cs="Arial"/>
                <w:color w:val="000000" w:themeColor="text1"/>
              </w:rPr>
              <w:t>ó</w:t>
            </w:r>
            <w:r w:rsidRPr="00242DFB">
              <w:rPr>
                <w:rFonts w:ascii="Arial" w:eastAsia="Aptos Narrow" w:hAnsi="Arial" w:cs="Arial"/>
                <w:color w:val="000000" w:themeColor="text1"/>
              </w:rPr>
              <w:t>n</w:t>
            </w:r>
          </w:p>
        </w:tc>
        <w:tc>
          <w:tcPr>
            <w:tcW w:w="1590" w:type="dxa"/>
            <w:tcBorders>
              <w:top w:val="single" w:sz="4" w:space="0" w:color="000000"/>
              <w:left w:val="single" w:sz="4" w:space="0" w:color="000000"/>
              <w:bottom w:val="single" w:sz="4" w:space="0" w:color="000000"/>
              <w:right w:val="single" w:sz="4" w:space="0" w:color="000000"/>
            </w:tcBorders>
            <w:vAlign w:val="center"/>
          </w:tcPr>
          <w:p w14:paraId="12BFF33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2</w:t>
            </w:r>
          </w:p>
        </w:tc>
        <w:tc>
          <w:tcPr>
            <w:tcW w:w="1889" w:type="dxa"/>
            <w:tcBorders>
              <w:top w:val="single" w:sz="4" w:space="0" w:color="000000"/>
              <w:left w:val="single" w:sz="4" w:space="0" w:color="000000"/>
              <w:bottom w:val="single" w:sz="4" w:space="0" w:color="000000"/>
              <w:right w:val="single" w:sz="4" w:space="0" w:color="000000"/>
            </w:tcBorders>
            <w:vAlign w:val="center"/>
          </w:tcPr>
          <w:p w14:paraId="68E141DD"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2537</w:t>
            </w:r>
          </w:p>
        </w:tc>
        <w:tc>
          <w:tcPr>
            <w:tcW w:w="1588" w:type="dxa"/>
            <w:tcBorders>
              <w:top w:val="single" w:sz="4" w:space="0" w:color="000000"/>
              <w:left w:val="single" w:sz="4" w:space="0" w:color="000000"/>
              <w:bottom w:val="single" w:sz="4" w:space="0" w:color="000000"/>
              <w:right w:val="single" w:sz="4" w:space="0" w:color="000000"/>
            </w:tcBorders>
            <w:vAlign w:val="center"/>
          </w:tcPr>
          <w:p w14:paraId="24A8BBC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0,8</w:t>
            </w:r>
          </w:p>
        </w:tc>
      </w:tr>
      <w:tr w:rsidR="009F762E" w:rsidRPr="00242DFB" w14:paraId="4C333859"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3D17B295"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10-Engativa</w:t>
            </w:r>
          </w:p>
        </w:tc>
        <w:tc>
          <w:tcPr>
            <w:tcW w:w="1590" w:type="dxa"/>
            <w:tcBorders>
              <w:top w:val="single" w:sz="4" w:space="0" w:color="000000"/>
              <w:left w:val="single" w:sz="4" w:space="0" w:color="000000"/>
              <w:bottom w:val="single" w:sz="4" w:space="0" w:color="000000"/>
              <w:right w:val="single" w:sz="4" w:space="0" w:color="000000"/>
            </w:tcBorders>
            <w:vAlign w:val="center"/>
          </w:tcPr>
          <w:p w14:paraId="512ACDED"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7</w:t>
            </w:r>
          </w:p>
        </w:tc>
        <w:tc>
          <w:tcPr>
            <w:tcW w:w="1889" w:type="dxa"/>
            <w:tcBorders>
              <w:top w:val="single" w:sz="4" w:space="0" w:color="000000"/>
              <w:left w:val="single" w:sz="4" w:space="0" w:color="000000"/>
              <w:bottom w:val="single" w:sz="4" w:space="0" w:color="000000"/>
              <w:right w:val="single" w:sz="4" w:space="0" w:color="000000"/>
            </w:tcBorders>
            <w:vAlign w:val="center"/>
          </w:tcPr>
          <w:p w14:paraId="722AE81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5160</w:t>
            </w:r>
          </w:p>
        </w:tc>
        <w:tc>
          <w:tcPr>
            <w:tcW w:w="1588" w:type="dxa"/>
            <w:tcBorders>
              <w:top w:val="single" w:sz="4" w:space="0" w:color="000000"/>
              <w:left w:val="single" w:sz="4" w:space="0" w:color="000000"/>
              <w:bottom w:val="single" w:sz="4" w:space="0" w:color="000000"/>
              <w:right w:val="single" w:sz="4" w:space="0" w:color="000000"/>
            </w:tcBorders>
            <w:vAlign w:val="center"/>
          </w:tcPr>
          <w:p w14:paraId="7316C93E"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1,4</w:t>
            </w:r>
          </w:p>
        </w:tc>
      </w:tr>
      <w:tr w:rsidR="009F762E" w:rsidRPr="00242DFB" w14:paraId="4BD4A8C2"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64058CAA"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11-Suba</w:t>
            </w:r>
          </w:p>
        </w:tc>
        <w:tc>
          <w:tcPr>
            <w:tcW w:w="1590" w:type="dxa"/>
            <w:tcBorders>
              <w:top w:val="single" w:sz="4" w:space="0" w:color="000000"/>
              <w:left w:val="single" w:sz="4" w:space="0" w:color="000000"/>
              <w:bottom w:val="single" w:sz="4" w:space="0" w:color="000000"/>
              <w:right w:val="single" w:sz="4" w:space="0" w:color="000000"/>
            </w:tcBorders>
            <w:vAlign w:val="center"/>
          </w:tcPr>
          <w:p w14:paraId="43F249E6"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3</w:t>
            </w:r>
          </w:p>
        </w:tc>
        <w:tc>
          <w:tcPr>
            <w:tcW w:w="1889" w:type="dxa"/>
            <w:tcBorders>
              <w:top w:val="single" w:sz="4" w:space="0" w:color="000000"/>
              <w:left w:val="single" w:sz="4" w:space="0" w:color="000000"/>
              <w:bottom w:val="single" w:sz="4" w:space="0" w:color="000000"/>
              <w:right w:val="single" w:sz="4" w:space="0" w:color="000000"/>
            </w:tcBorders>
            <w:vAlign w:val="center"/>
          </w:tcPr>
          <w:p w14:paraId="4109C4D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8171</w:t>
            </w:r>
          </w:p>
        </w:tc>
        <w:tc>
          <w:tcPr>
            <w:tcW w:w="1588" w:type="dxa"/>
            <w:tcBorders>
              <w:top w:val="single" w:sz="4" w:space="0" w:color="000000"/>
              <w:left w:val="single" w:sz="4" w:space="0" w:color="000000"/>
              <w:bottom w:val="single" w:sz="4" w:space="0" w:color="000000"/>
              <w:right w:val="single" w:sz="4" w:space="0" w:color="000000"/>
            </w:tcBorders>
            <w:vAlign w:val="center"/>
          </w:tcPr>
          <w:p w14:paraId="2ED210A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0,4</w:t>
            </w:r>
          </w:p>
        </w:tc>
      </w:tr>
      <w:tr w:rsidR="009F762E" w:rsidRPr="00242DFB" w14:paraId="7C13DEC2"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385B0420"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12-Barrios Unidos</w:t>
            </w:r>
          </w:p>
        </w:tc>
        <w:tc>
          <w:tcPr>
            <w:tcW w:w="1590" w:type="dxa"/>
            <w:tcBorders>
              <w:top w:val="single" w:sz="4" w:space="0" w:color="000000"/>
              <w:left w:val="single" w:sz="4" w:space="0" w:color="000000"/>
              <w:bottom w:val="single" w:sz="4" w:space="0" w:color="000000"/>
              <w:right w:val="single" w:sz="4" w:space="0" w:color="000000"/>
            </w:tcBorders>
            <w:vAlign w:val="center"/>
          </w:tcPr>
          <w:p w14:paraId="16BA1DD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w:t>
            </w:r>
          </w:p>
        </w:tc>
        <w:tc>
          <w:tcPr>
            <w:tcW w:w="1889" w:type="dxa"/>
            <w:tcBorders>
              <w:top w:val="single" w:sz="4" w:space="0" w:color="000000"/>
              <w:left w:val="single" w:sz="4" w:space="0" w:color="000000"/>
              <w:bottom w:val="single" w:sz="4" w:space="0" w:color="000000"/>
              <w:right w:val="single" w:sz="4" w:space="0" w:color="000000"/>
            </w:tcBorders>
            <w:vAlign w:val="center"/>
          </w:tcPr>
          <w:p w14:paraId="7D167466"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894</w:t>
            </w:r>
          </w:p>
        </w:tc>
        <w:tc>
          <w:tcPr>
            <w:tcW w:w="1588" w:type="dxa"/>
            <w:tcBorders>
              <w:top w:val="single" w:sz="4" w:space="0" w:color="000000"/>
              <w:left w:val="single" w:sz="4" w:space="0" w:color="000000"/>
              <w:bottom w:val="single" w:sz="4" w:space="0" w:color="000000"/>
              <w:right w:val="single" w:sz="4" w:space="0" w:color="000000"/>
            </w:tcBorders>
            <w:vAlign w:val="center"/>
          </w:tcPr>
          <w:p w14:paraId="617C63F7"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1,1</w:t>
            </w:r>
          </w:p>
        </w:tc>
      </w:tr>
      <w:tr w:rsidR="009F762E" w:rsidRPr="00242DFB" w14:paraId="5600E397"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2155A520"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13-Teusaquillo</w:t>
            </w:r>
          </w:p>
        </w:tc>
        <w:tc>
          <w:tcPr>
            <w:tcW w:w="1590" w:type="dxa"/>
            <w:tcBorders>
              <w:top w:val="single" w:sz="4" w:space="0" w:color="000000"/>
              <w:left w:val="single" w:sz="4" w:space="0" w:color="000000"/>
              <w:bottom w:val="single" w:sz="4" w:space="0" w:color="000000"/>
              <w:right w:val="single" w:sz="4" w:space="0" w:color="000000"/>
            </w:tcBorders>
            <w:vAlign w:val="center"/>
          </w:tcPr>
          <w:p w14:paraId="6DAC7EC9"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w:t>
            </w:r>
          </w:p>
        </w:tc>
        <w:tc>
          <w:tcPr>
            <w:tcW w:w="1889" w:type="dxa"/>
            <w:tcBorders>
              <w:top w:val="single" w:sz="4" w:space="0" w:color="000000"/>
              <w:left w:val="single" w:sz="4" w:space="0" w:color="000000"/>
              <w:bottom w:val="single" w:sz="4" w:space="0" w:color="000000"/>
              <w:right w:val="single" w:sz="4" w:space="0" w:color="000000"/>
            </w:tcBorders>
            <w:vAlign w:val="center"/>
          </w:tcPr>
          <w:p w14:paraId="0D88CDC6"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781</w:t>
            </w:r>
          </w:p>
        </w:tc>
        <w:tc>
          <w:tcPr>
            <w:tcW w:w="1588" w:type="dxa"/>
            <w:tcBorders>
              <w:top w:val="single" w:sz="4" w:space="0" w:color="000000"/>
              <w:left w:val="single" w:sz="4" w:space="0" w:color="000000"/>
              <w:bottom w:val="single" w:sz="4" w:space="0" w:color="000000"/>
              <w:right w:val="single" w:sz="4" w:space="0" w:color="000000"/>
            </w:tcBorders>
            <w:vAlign w:val="center"/>
          </w:tcPr>
          <w:p w14:paraId="544AD602"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0,0</w:t>
            </w:r>
          </w:p>
        </w:tc>
      </w:tr>
      <w:tr w:rsidR="009F762E" w:rsidRPr="00242DFB" w14:paraId="2266A576"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7B280207"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14-Mártires</w:t>
            </w:r>
          </w:p>
        </w:tc>
        <w:tc>
          <w:tcPr>
            <w:tcW w:w="1590" w:type="dxa"/>
            <w:tcBorders>
              <w:top w:val="single" w:sz="4" w:space="0" w:color="000000"/>
              <w:left w:val="single" w:sz="4" w:space="0" w:color="000000"/>
              <w:bottom w:val="single" w:sz="4" w:space="0" w:color="000000"/>
              <w:right w:val="single" w:sz="4" w:space="0" w:color="000000"/>
            </w:tcBorders>
            <w:vAlign w:val="center"/>
          </w:tcPr>
          <w:p w14:paraId="48E2AF25"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w:t>
            </w:r>
          </w:p>
        </w:tc>
        <w:tc>
          <w:tcPr>
            <w:tcW w:w="1889" w:type="dxa"/>
            <w:tcBorders>
              <w:top w:val="single" w:sz="4" w:space="0" w:color="000000"/>
              <w:left w:val="single" w:sz="4" w:space="0" w:color="000000"/>
              <w:bottom w:val="single" w:sz="4" w:space="0" w:color="000000"/>
              <w:right w:val="single" w:sz="4" w:space="0" w:color="000000"/>
            </w:tcBorders>
            <w:vAlign w:val="center"/>
          </w:tcPr>
          <w:p w14:paraId="3B65E7C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872</w:t>
            </w:r>
          </w:p>
        </w:tc>
        <w:tc>
          <w:tcPr>
            <w:tcW w:w="1588" w:type="dxa"/>
            <w:tcBorders>
              <w:top w:val="single" w:sz="4" w:space="0" w:color="000000"/>
              <w:left w:val="single" w:sz="4" w:space="0" w:color="000000"/>
              <w:bottom w:val="single" w:sz="4" w:space="0" w:color="000000"/>
              <w:right w:val="single" w:sz="4" w:space="0" w:color="000000"/>
            </w:tcBorders>
            <w:vAlign w:val="center"/>
          </w:tcPr>
          <w:p w14:paraId="4F7A5047"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1,1</w:t>
            </w:r>
          </w:p>
        </w:tc>
      </w:tr>
      <w:tr w:rsidR="009F762E" w:rsidRPr="00242DFB" w14:paraId="5B73283A"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56E66866"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15-Antonio Nariño</w:t>
            </w:r>
          </w:p>
        </w:tc>
        <w:tc>
          <w:tcPr>
            <w:tcW w:w="1590" w:type="dxa"/>
            <w:tcBorders>
              <w:top w:val="single" w:sz="4" w:space="0" w:color="000000"/>
              <w:left w:val="single" w:sz="4" w:space="0" w:color="000000"/>
              <w:bottom w:val="single" w:sz="4" w:space="0" w:color="000000"/>
              <w:right w:val="single" w:sz="4" w:space="0" w:color="000000"/>
            </w:tcBorders>
            <w:vAlign w:val="center"/>
          </w:tcPr>
          <w:p w14:paraId="603FE44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3</w:t>
            </w:r>
          </w:p>
        </w:tc>
        <w:tc>
          <w:tcPr>
            <w:tcW w:w="1889" w:type="dxa"/>
            <w:tcBorders>
              <w:top w:val="single" w:sz="4" w:space="0" w:color="000000"/>
              <w:left w:val="single" w:sz="4" w:space="0" w:color="000000"/>
              <w:bottom w:val="single" w:sz="4" w:space="0" w:color="000000"/>
              <w:right w:val="single" w:sz="4" w:space="0" w:color="000000"/>
            </w:tcBorders>
            <w:vAlign w:val="center"/>
          </w:tcPr>
          <w:p w14:paraId="0E26303F"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621</w:t>
            </w:r>
          </w:p>
        </w:tc>
        <w:tc>
          <w:tcPr>
            <w:tcW w:w="1588" w:type="dxa"/>
            <w:tcBorders>
              <w:top w:val="single" w:sz="4" w:space="0" w:color="000000"/>
              <w:left w:val="single" w:sz="4" w:space="0" w:color="000000"/>
              <w:bottom w:val="single" w:sz="4" w:space="0" w:color="000000"/>
              <w:right w:val="single" w:sz="4" w:space="0" w:color="000000"/>
            </w:tcBorders>
            <w:vAlign w:val="center"/>
          </w:tcPr>
          <w:p w14:paraId="6A15A54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4,8</w:t>
            </w:r>
          </w:p>
        </w:tc>
      </w:tr>
      <w:tr w:rsidR="009F762E" w:rsidRPr="00242DFB" w14:paraId="45A98C04"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6BDB2E2E"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16-Puente Aranda</w:t>
            </w:r>
          </w:p>
        </w:tc>
        <w:tc>
          <w:tcPr>
            <w:tcW w:w="1590" w:type="dxa"/>
            <w:tcBorders>
              <w:top w:val="single" w:sz="4" w:space="0" w:color="000000"/>
              <w:left w:val="single" w:sz="4" w:space="0" w:color="000000"/>
              <w:bottom w:val="single" w:sz="4" w:space="0" w:color="000000"/>
              <w:right w:val="single" w:sz="4" w:space="0" w:color="000000"/>
            </w:tcBorders>
            <w:vAlign w:val="center"/>
          </w:tcPr>
          <w:p w14:paraId="5287973E"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w:t>
            </w:r>
          </w:p>
        </w:tc>
        <w:tc>
          <w:tcPr>
            <w:tcW w:w="1889" w:type="dxa"/>
            <w:tcBorders>
              <w:top w:val="single" w:sz="4" w:space="0" w:color="000000"/>
              <w:left w:val="single" w:sz="4" w:space="0" w:color="000000"/>
              <w:bottom w:val="single" w:sz="4" w:space="0" w:color="000000"/>
              <w:right w:val="single" w:sz="4" w:space="0" w:color="000000"/>
            </w:tcBorders>
            <w:vAlign w:val="center"/>
          </w:tcPr>
          <w:p w14:paraId="36C1FB2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1618</w:t>
            </w:r>
          </w:p>
        </w:tc>
        <w:tc>
          <w:tcPr>
            <w:tcW w:w="1588" w:type="dxa"/>
            <w:tcBorders>
              <w:top w:val="single" w:sz="4" w:space="0" w:color="000000"/>
              <w:left w:val="single" w:sz="4" w:space="0" w:color="000000"/>
              <w:bottom w:val="single" w:sz="4" w:space="0" w:color="000000"/>
              <w:right w:val="single" w:sz="4" w:space="0" w:color="000000"/>
            </w:tcBorders>
            <w:vAlign w:val="center"/>
          </w:tcPr>
          <w:p w14:paraId="4ACD6BB3"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0,6</w:t>
            </w:r>
          </w:p>
        </w:tc>
      </w:tr>
      <w:tr w:rsidR="009F762E" w:rsidRPr="00242DFB" w14:paraId="5DB9FF57"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146D5511"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17-Candelaria</w:t>
            </w:r>
          </w:p>
        </w:tc>
        <w:tc>
          <w:tcPr>
            <w:tcW w:w="1590" w:type="dxa"/>
            <w:tcBorders>
              <w:top w:val="single" w:sz="4" w:space="0" w:color="000000"/>
              <w:left w:val="single" w:sz="4" w:space="0" w:color="000000"/>
              <w:bottom w:val="single" w:sz="4" w:space="0" w:color="000000"/>
              <w:right w:val="single" w:sz="4" w:space="0" w:color="000000"/>
            </w:tcBorders>
            <w:vAlign w:val="center"/>
          </w:tcPr>
          <w:p w14:paraId="416517F6"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w:t>
            </w:r>
          </w:p>
        </w:tc>
        <w:tc>
          <w:tcPr>
            <w:tcW w:w="1889" w:type="dxa"/>
            <w:tcBorders>
              <w:top w:val="single" w:sz="4" w:space="0" w:color="000000"/>
              <w:left w:val="single" w:sz="4" w:space="0" w:color="000000"/>
              <w:bottom w:val="single" w:sz="4" w:space="0" w:color="000000"/>
              <w:right w:val="single" w:sz="4" w:space="0" w:color="000000"/>
            </w:tcBorders>
            <w:vAlign w:val="center"/>
          </w:tcPr>
          <w:p w14:paraId="5E550757"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152</w:t>
            </w:r>
          </w:p>
        </w:tc>
        <w:tc>
          <w:tcPr>
            <w:tcW w:w="1588" w:type="dxa"/>
            <w:tcBorders>
              <w:top w:val="single" w:sz="4" w:space="0" w:color="000000"/>
              <w:left w:val="single" w:sz="4" w:space="0" w:color="000000"/>
              <w:bottom w:val="single" w:sz="4" w:space="0" w:color="000000"/>
              <w:right w:val="single" w:sz="4" w:space="0" w:color="000000"/>
            </w:tcBorders>
            <w:vAlign w:val="center"/>
          </w:tcPr>
          <w:p w14:paraId="7F077FAD"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0,0</w:t>
            </w:r>
          </w:p>
        </w:tc>
      </w:tr>
      <w:tr w:rsidR="009F762E" w:rsidRPr="00242DFB" w14:paraId="6B2AF4D9"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4385913C"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18-Rafael Uribe</w:t>
            </w:r>
          </w:p>
        </w:tc>
        <w:tc>
          <w:tcPr>
            <w:tcW w:w="1590" w:type="dxa"/>
            <w:tcBorders>
              <w:top w:val="single" w:sz="4" w:space="0" w:color="000000"/>
              <w:left w:val="single" w:sz="4" w:space="0" w:color="000000"/>
              <w:bottom w:val="single" w:sz="4" w:space="0" w:color="000000"/>
              <w:right w:val="single" w:sz="4" w:space="0" w:color="000000"/>
            </w:tcBorders>
            <w:vAlign w:val="center"/>
          </w:tcPr>
          <w:p w14:paraId="76218276"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w:t>
            </w:r>
          </w:p>
        </w:tc>
        <w:tc>
          <w:tcPr>
            <w:tcW w:w="1889" w:type="dxa"/>
            <w:tcBorders>
              <w:top w:val="single" w:sz="4" w:space="0" w:color="000000"/>
              <w:left w:val="single" w:sz="4" w:space="0" w:color="000000"/>
              <w:bottom w:val="single" w:sz="4" w:space="0" w:color="000000"/>
              <w:right w:val="single" w:sz="4" w:space="0" w:color="000000"/>
            </w:tcBorders>
            <w:vAlign w:val="center"/>
          </w:tcPr>
          <w:p w14:paraId="7E96D6A2"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2915</w:t>
            </w:r>
          </w:p>
        </w:tc>
        <w:tc>
          <w:tcPr>
            <w:tcW w:w="1588" w:type="dxa"/>
            <w:tcBorders>
              <w:top w:val="single" w:sz="4" w:space="0" w:color="000000"/>
              <w:left w:val="single" w:sz="4" w:space="0" w:color="000000"/>
              <w:bottom w:val="single" w:sz="4" w:space="0" w:color="000000"/>
              <w:right w:val="single" w:sz="4" w:space="0" w:color="000000"/>
            </w:tcBorders>
            <w:vAlign w:val="center"/>
          </w:tcPr>
          <w:p w14:paraId="7BB50919"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0,3</w:t>
            </w:r>
          </w:p>
        </w:tc>
      </w:tr>
      <w:tr w:rsidR="009F762E" w:rsidRPr="00242DFB" w14:paraId="6595D96E"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6A0010E8"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19-Ciudad Bolívar</w:t>
            </w:r>
          </w:p>
        </w:tc>
        <w:tc>
          <w:tcPr>
            <w:tcW w:w="1590" w:type="dxa"/>
            <w:tcBorders>
              <w:top w:val="single" w:sz="4" w:space="0" w:color="000000"/>
              <w:left w:val="single" w:sz="4" w:space="0" w:color="000000"/>
              <w:bottom w:val="single" w:sz="4" w:space="0" w:color="000000"/>
              <w:right w:val="single" w:sz="4" w:space="0" w:color="000000"/>
            </w:tcBorders>
            <w:vAlign w:val="center"/>
          </w:tcPr>
          <w:p w14:paraId="1F9579A9"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10</w:t>
            </w:r>
          </w:p>
        </w:tc>
        <w:tc>
          <w:tcPr>
            <w:tcW w:w="1889" w:type="dxa"/>
            <w:tcBorders>
              <w:top w:val="single" w:sz="4" w:space="0" w:color="000000"/>
              <w:left w:val="single" w:sz="4" w:space="0" w:color="000000"/>
              <w:bottom w:val="single" w:sz="4" w:space="0" w:color="000000"/>
              <w:right w:val="single" w:sz="4" w:space="0" w:color="000000"/>
            </w:tcBorders>
            <w:vAlign w:val="center"/>
          </w:tcPr>
          <w:p w14:paraId="44691904"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5969</w:t>
            </w:r>
          </w:p>
        </w:tc>
        <w:tc>
          <w:tcPr>
            <w:tcW w:w="1588" w:type="dxa"/>
            <w:tcBorders>
              <w:top w:val="single" w:sz="4" w:space="0" w:color="000000"/>
              <w:left w:val="single" w:sz="4" w:space="0" w:color="000000"/>
              <w:bottom w:val="single" w:sz="4" w:space="0" w:color="000000"/>
              <w:right w:val="single" w:sz="4" w:space="0" w:color="000000"/>
            </w:tcBorders>
            <w:vAlign w:val="center"/>
          </w:tcPr>
          <w:p w14:paraId="0EF19961"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1,7</w:t>
            </w:r>
          </w:p>
        </w:tc>
      </w:tr>
      <w:tr w:rsidR="009F762E" w:rsidRPr="00242DFB" w14:paraId="11986ACA" w14:textId="77777777" w:rsidTr="00F80AD4">
        <w:trPr>
          <w:cantSplit/>
          <w:trHeight w:val="233"/>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40C33DD5"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20-Sumapaz</w:t>
            </w:r>
          </w:p>
        </w:tc>
        <w:tc>
          <w:tcPr>
            <w:tcW w:w="1590" w:type="dxa"/>
            <w:tcBorders>
              <w:top w:val="single" w:sz="4" w:space="0" w:color="000000"/>
              <w:left w:val="single" w:sz="4" w:space="0" w:color="000000"/>
              <w:bottom w:val="single" w:sz="4" w:space="0" w:color="000000"/>
              <w:right w:val="single" w:sz="4" w:space="0" w:color="000000"/>
            </w:tcBorders>
            <w:vAlign w:val="center"/>
          </w:tcPr>
          <w:p w14:paraId="1D27EB4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w:t>
            </w:r>
          </w:p>
        </w:tc>
        <w:tc>
          <w:tcPr>
            <w:tcW w:w="1889" w:type="dxa"/>
            <w:tcBorders>
              <w:top w:val="single" w:sz="4" w:space="0" w:color="000000"/>
              <w:left w:val="single" w:sz="4" w:space="0" w:color="000000"/>
              <w:bottom w:val="single" w:sz="4" w:space="0" w:color="000000"/>
              <w:right w:val="single" w:sz="4" w:space="0" w:color="000000"/>
            </w:tcBorders>
            <w:vAlign w:val="center"/>
          </w:tcPr>
          <w:p w14:paraId="1F7A911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15</w:t>
            </w:r>
          </w:p>
        </w:tc>
        <w:tc>
          <w:tcPr>
            <w:tcW w:w="1588" w:type="dxa"/>
            <w:tcBorders>
              <w:top w:val="single" w:sz="4" w:space="0" w:color="000000"/>
              <w:left w:val="single" w:sz="4" w:space="0" w:color="000000"/>
              <w:bottom w:val="single" w:sz="4" w:space="0" w:color="000000"/>
              <w:right w:val="single" w:sz="4" w:space="0" w:color="000000"/>
            </w:tcBorders>
            <w:vAlign w:val="center"/>
          </w:tcPr>
          <w:p w14:paraId="3C1BCD1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0,0</w:t>
            </w:r>
          </w:p>
        </w:tc>
      </w:tr>
      <w:tr w:rsidR="009F762E" w:rsidRPr="00242DFB" w14:paraId="5877D387" w14:textId="77777777" w:rsidTr="00F80AD4">
        <w:trPr>
          <w:cantSplit/>
          <w:trHeight w:val="247"/>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1F458307" w14:textId="77777777" w:rsidR="009F762E" w:rsidRPr="00242DFB" w:rsidRDefault="00000000" w:rsidP="005B2285">
            <w:pPr>
              <w:spacing w:line="360" w:lineRule="auto"/>
              <w:rPr>
                <w:rFonts w:ascii="Arial" w:hAnsi="Arial" w:cs="Arial"/>
                <w:color w:val="000000" w:themeColor="text1"/>
              </w:rPr>
            </w:pPr>
            <w:r w:rsidRPr="00242DFB">
              <w:rPr>
                <w:rFonts w:ascii="Arial" w:eastAsia="Aptos Narrow" w:hAnsi="Arial" w:cs="Arial"/>
                <w:color w:val="000000" w:themeColor="text1"/>
              </w:rPr>
              <w:t>Sin dato de localidad</w:t>
            </w:r>
          </w:p>
        </w:tc>
        <w:tc>
          <w:tcPr>
            <w:tcW w:w="1590" w:type="dxa"/>
            <w:tcBorders>
              <w:top w:val="single" w:sz="4" w:space="0" w:color="000000"/>
              <w:left w:val="single" w:sz="4" w:space="0" w:color="000000"/>
              <w:bottom w:val="single" w:sz="4" w:space="0" w:color="000000"/>
              <w:right w:val="single" w:sz="4" w:space="0" w:color="000000"/>
            </w:tcBorders>
            <w:vAlign w:val="center"/>
          </w:tcPr>
          <w:p w14:paraId="48C06D7F"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w:t>
            </w:r>
          </w:p>
        </w:tc>
        <w:tc>
          <w:tcPr>
            <w:tcW w:w="1889" w:type="dxa"/>
            <w:tcBorders>
              <w:top w:val="single" w:sz="4" w:space="0" w:color="000000"/>
              <w:left w:val="single" w:sz="4" w:space="0" w:color="000000"/>
              <w:bottom w:val="single" w:sz="4" w:space="0" w:color="000000"/>
              <w:right w:val="single" w:sz="4" w:space="0" w:color="000000"/>
            </w:tcBorders>
            <w:vAlign w:val="center"/>
          </w:tcPr>
          <w:p w14:paraId="193585B1"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1</w:t>
            </w:r>
          </w:p>
        </w:tc>
        <w:tc>
          <w:tcPr>
            <w:tcW w:w="1588" w:type="dxa"/>
            <w:tcBorders>
              <w:top w:val="single" w:sz="4" w:space="0" w:color="000000"/>
              <w:left w:val="single" w:sz="4" w:space="0" w:color="000000"/>
              <w:bottom w:val="single" w:sz="4" w:space="0" w:color="000000"/>
              <w:right w:val="single" w:sz="4" w:space="0" w:color="000000"/>
            </w:tcBorders>
            <w:vAlign w:val="center"/>
          </w:tcPr>
          <w:p w14:paraId="3556A80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color w:val="000000" w:themeColor="text1"/>
              </w:rPr>
              <w:t>0,0</w:t>
            </w:r>
          </w:p>
        </w:tc>
      </w:tr>
      <w:tr w:rsidR="009F762E" w:rsidRPr="00242DFB" w14:paraId="610801EA" w14:textId="77777777" w:rsidTr="00F80AD4">
        <w:trPr>
          <w:cantSplit/>
          <w:trHeight w:val="247"/>
          <w:jc w:val="center"/>
        </w:trPr>
        <w:tc>
          <w:tcPr>
            <w:tcW w:w="2639" w:type="dxa"/>
            <w:tcBorders>
              <w:top w:val="single" w:sz="4" w:space="0" w:color="000000"/>
              <w:left w:val="single" w:sz="4" w:space="0" w:color="000000"/>
              <w:bottom w:val="single" w:sz="4" w:space="0" w:color="000000"/>
              <w:right w:val="single" w:sz="4" w:space="0" w:color="000000"/>
            </w:tcBorders>
            <w:vAlign w:val="center"/>
          </w:tcPr>
          <w:p w14:paraId="07FABF7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 xml:space="preserve">TOTAL </w:t>
            </w:r>
          </w:p>
        </w:tc>
        <w:tc>
          <w:tcPr>
            <w:tcW w:w="1590" w:type="dxa"/>
            <w:tcBorders>
              <w:top w:val="single" w:sz="4" w:space="0" w:color="000000"/>
              <w:left w:val="single" w:sz="4" w:space="0" w:color="000000"/>
              <w:bottom w:val="single" w:sz="4" w:space="0" w:color="000000"/>
              <w:right w:val="single" w:sz="4" w:space="0" w:color="000000"/>
            </w:tcBorders>
            <w:vAlign w:val="center"/>
          </w:tcPr>
          <w:p w14:paraId="39909891"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67</w:t>
            </w:r>
          </w:p>
        </w:tc>
        <w:tc>
          <w:tcPr>
            <w:tcW w:w="1889" w:type="dxa"/>
            <w:tcBorders>
              <w:top w:val="single" w:sz="4" w:space="0" w:color="000000"/>
              <w:left w:val="single" w:sz="4" w:space="0" w:color="000000"/>
              <w:bottom w:val="single" w:sz="4" w:space="0" w:color="000000"/>
              <w:right w:val="single" w:sz="4" w:space="0" w:color="000000"/>
            </w:tcBorders>
            <w:vAlign w:val="center"/>
          </w:tcPr>
          <w:p w14:paraId="7B39C611"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56541</w:t>
            </w:r>
          </w:p>
        </w:tc>
        <w:tc>
          <w:tcPr>
            <w:tcW w:w="1588" w:type="dxa"/>
            <w:tcBorders>
              <w:top w:val="single" w:sz="4" w:space="0" w:color="000000"/>
              <w:left w:val="single" w:sz="4" w:space="0" w:color="000000"/>
              <w:bottom w:val="single" w:sz="4" w:space="0" w:color="000000"/>
              <w:right w:val="single" w:sz="4" w:space="0" w:color="000000"/>
            </w:tcBorders>
            <w:vAlign w:val="center"/>
          </w:tcPr>
          <w:p w14:paraId="727080BF"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ptos Narrow" w:hAnsi="Arial" w:cs="Arial"/>
                <w:b/>
                <w:bCs/>
                <w:color w:val="000000" w:themeColor="text1"/>
              </w:rPr>
              <w:t>1,18</w:t>
            </w:r>
          </w:p>
        </w:tc>
      </w:tr>
    </w:tbl>
    <w:p w14:paraId="0B3E68D2" w14:textId="77777777" w:rsidR="009F762E" w:rsidRPr="00242DFB" w:rsidRDefault="00000000" w:rsidP="005B2285">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Fuente 2025: Aplicativo RUAF-ND. Sistema de Estadísticas Vitales SDS -EEVV-PRELIMINARES ajustado 10-12-2025</w:t>
      </w:r>
    </w:p>
    <w:p w14:paraId="7447E899" w14:textId="77777777" w:rsidR="009F762E" w:rsidRPr="00242DFB" w:rsidRDefault="009F762E" w:rsidP="005B2285">
      <w:pPr>
        <w:spacing w:line="360" w:lineRule="auto"/>
        <w:jc w:val="center"/>
        <w:rPr>
          <w:rFonts w:ascii="Arial" w:hAnsi="Arial" w:cs="Arial"/>
          <w:color w:val="000000" w:themeColor="text1"/>
        </w:rPr>
      </w:pPr>
    </w:p>
    <w:p w14:paraId="277E52A8" w14:textId="77777777" w:rsidR="00E83BF7" w:rsidRPr="00E83BF7" w:rsidRDefault="00E83BF7" w:rsidP="005B2285">
      <w:pPr>
        <w:spacing w:line="360" w:lineRule="auto"/>
        <w:jc w:val="both"/>
        <w:rPr>
          <w:rFonts w:ascii="Arial" w:hAnsi="Arial" w:cs="Arial"/>
          <w:color w:val="000000" w:themeColor="text1"/>
        </w:rPr>
      </w:pPr>
      <w:r w:rsidRPr="00E83BF7">
        <w:rPr>
          <w:rFonts w:ascii="Arial" w:hAnsi="Arial" w:cs="Arial"/>
          <w:color w:val="000000" w:themeColor="text1"/>
        </w:rPr>
        <w:lastRenderedPageBreak/>
        <w:t>El comportamiento territorial muestra una distribución heterogénea entre localidades, por lo que el análisis debe diferenciar entre la carga absoluta de casos y la tasa específica por nacidos vivos. En términos de volumen, las localidades con mayor número de casos fueron Ciudad Bolívar, con 10 eventos; Kennedy, con 8; y Usme y Engativá, con 7 casos cada una. Estas localidades concentran un número importante de nacimientos y alta densidad poblacional, por lo que deben considerarse territorios prioritarios para vigilancia epidemiológica, seguimiento nominal de gestantes, recién nacidos y lactantes, fortalecimiento de la red primaria y análisis de barreras de acceso.</w:t>
      </w:r>
    </w:p>
    <w:p w14:paraId="3435D0B9" w14:textId="77777777" w:rsidR="00E83BF7" w:rsidRPr="00242DFB" w:rsidRDefault="00E83BF7" w:rsidP="005B2285">
      <w:pPr>
        <w:spacing w:line="360" w:lineRule="auto"/>
        <w:jc w:val="both"/>
        <w:rPr>
          <w:rFonts w:ascii="Arial" w:hAnsi="Arial" w:cs="Arial"/>
          <w:color w:val="000000" w:themeColor="text1"/>
        </w:rPr>
      </w:pPr>
      <w:r w:rsidRPr="00E83BF7">
        <w:rPr>
          <w:rFonts w:ascii="Arial" w:hAnsi="Arial" w:cs="Arial"/>
          <w:color w:val="000000" w:themeColor="text1"/>
        </w:rPr>
        <w:t>Desde la lectura de tasas, se identifican valores superiores al promedio general de Capital Salud EPS-S en Antonio Nariño, con 4,8 casos por cada 1.000 nacidos vivos; Santa Fe, con 4,1; Usme, con 2,3; y San Cristóbal, con 2,1. Estos resultados sugieren posibles concentraciones de riesgo que requieren revisión específica de los casos, incluyendo antecedentes maternos, oportunidad del control prenatal, condiciones del parto, acceso a servicios neonatales, seguimiento posterior al nacimiento y respuesta de la red ante signos de alarma.</w:t>
      </w:r>
    </w:p>
    <w:p w14:paraId="3C59B6DD" w14:textId="77777777" w:rsidR="00131048" w:rsidRPr="00E83BF7" w:rsidRDefault="00131048" w:rsidP="005B2285">
      <w:pPr>
        <w:spacing w:line="360" w:lineRule="auto"/>
        <w:jc w:val="both"/>
        <w:rPr>
          <w:rFonts w:ascii="Arial" w:hAnsi="Arial" w:cs="Arial"/>
          <w:color w:val="000000" w:themeColor="text1"/>
        </w:rPr>
      </w:pPr>
    </w:p>
    <w:p w14:paraId="0F9523F3" w14:textId="77777777" w:rsidR="00E83BF7" w:rsidRPr="00242DFB" w:rsidRDefault="00E83BF7" w:rsidP="005B2285">
      <w:pPr>
        <w:spacing w:line="360" w:lineRule="auto"/>
        <w:jc w:val="both"/>
        <w:rPr>
          <w:rFonts w:ascii="Arial" w:hAnsi="Arial" w:cs="Arial"/>
          <w:color w:val="000000" w:themeColor="text1"/>
        </w:rPr>
      </w:pPr>
      <w:r w:rsidRPr="00E83BF7">
        <w:rPr>
          <w:rFonts w:ascii="Arial" w:hAnsi="Arial" w:cs="Arial"/>
          <w:color w:val="000000" w:themeColor="text1"/>
        </w:rPr>
        <w:t>No obstante, la interpretación de las tasas en localidades con bajo número de nacimientos debe realizarse con cautela, dado que pequeños cambios en el número de casos pueden generar variaciones importantes en el indicador. Este es el caso de Antonio Nariño, donde 3 casos sobre 621 nacimientos generan la tasa más alta de la tabla, y de Santa Fe, donde 4 casos sobre 978 nacimientos producen una tasa superior al promedio general. Por tanto, estas localidades deben priorizarse para análisis cualitativo y revisión caso a caso, más que para conclusiones basadas únicamente en el volumen absoluto.</w:t>
      </w:r>
    </w:p>
    <w:p w14:paraId="36EF4973" w14:textId="77777777" w:rsidR="00131048" w:rsidRPr="00E83BF7" w:rsidRDefault="00131048" w:rsidP="005B2285">
      <w:pPr>
        <w:spacing w:line="360" w:lineRule="auto"/>
        <w:jc w:val="both"/>
        <w:rPr>
          <w:rFonts w:ascii="Arial" w:hAnsi="Arial" w:cs="Arial"/>
          <w:color w:val="000000" w:themeColor="text1"/>
        </w:rPr>
      </w:pPr>
    </w:p>
    <w:p w14:paraId="6790D37A" w14:textId="77777777" w:rsidR="00E83BF7" w:rsidRPr="00242DFB" w:rsidRDefault="00E83BF7" w:rsidP="005B2285">
      <w:pPr>
        <w:spacing w:line="360" w:lineRule="auto"/>
        <w:jc w:val="both"/>
        <w:rPr>
          <w:rFonts w:ascii="Arial" w:hAnsi="Arial" w:cs="Arial"/>
          <w:color w:val="000000" w:themeColor="text1"/>
        </w:rPr>
      </w:pPr>
      <w:r w:rsidRPr="00E83BF7">
        <w:rPr>
          <w:rFonts w:ascii="Arial" w:hAnsi="Arial" w:cs="Arial"/>
          <w:color w:val="000000" w:themeColor="text1"/>
        </w:rPr>
        <w:t xml:space="preserve">En contraste, localidades con alto número de nacimientos, como Suba, Bosa y Kennedy, presentan tasas inferiores o cercanas al promedio general de Capital Salud EPS-S. Este comportamiento indica que el mayor volumen poblacional no necesariamente se traduce en mayor riesgo relativo; sin embargo, por el tamaño de </w:t>
      </w:r>
      <w:r w:rsidRPr="00E83BF7">
        <w:rPr>
          <w:rFonts w:ascii="Arial" w:hAnsi="Arial" w:cs="Arial"/>
          <w:color w:val="000000" w:themeColor="text1"/>
        </w:rPr>
        <w:lastRenderedPageBreak/>
        <w:t>su cohorte materno-infantil, estas localidades deben mantenerse dentro del monitoreo regular y del seguimiento nominal de eventos trazadores.</w:t>
      </w:r>
    </w:p>
    <w:p w14:paraId="2EE6E635" w14:textId="77777777" w:rsidR="00131048" w:rsidRPr="00E83BF7" w:rsidRDefault="00131048" w:rsidP="005B2285">
      <w:pPr>
        <w:spacing w:line="360" w:lineRule="auto"/>
        <w:jc w:val="both"/>
        <w:rPr>
          <w:rFonts w:ascii="Arial" w:hAnsi="Arial" w:cs="Arial"/>
          <w:color w:val="000000" w:themeColor="text1"/>
        </w:rPr>
      </w:pPr>
    </w:p>
    <w:p w14:paraId="3A0DE3FC" w14:textId="77777777" w:rsidR="00E83BF7" w:rsidRPr="00242DFB" w:rsidRDefault="00E83BF7" w:rsidP="005B2285">
      <w:pPr>
        <w:spacing w:line="360" w:lineRule="auto"/>
        <w:jc w:val="both"/>
        <w:rPr>
          <w:rFonts w:ascii="Arial" w:hAnsi="Arial" w:cs="Arial"/>
          <w:color w:val="000000" w:themeColor="text1"/>
        </w:rPr>
      </w:pPr>
      <w:r w:rsidRPr="00E83BF7">
        <w:rPr>
          <w:rFonts w:ascii="Arial" w:hAnsi="Arial" w:cs="Arial"/>
          <w:color w:val="000000" w:themeColor="text1"/>
        </w:rPr>
        <w:t>Por otra parte, Teusaquillo, La Candelaria y Sumapaz no registraron eventos durante el periodo analizado. Aunque este resultado es favorable, debe interpretarse considerando el bajo volumen de nacimientos en algunas de estas localidades, especialmente Sumapaz y La Candelaria, donde el denominador poblacional es reducido.</w:t>
      </w:r>
    </w:p>
    <w:p w14:paraId="6CA501B7" w14:textId="77777777" w:rsidR="00131048" w:rsidRPr="00E83BF7" w:rsidRDefault="00131048" w:rsidP="005B2285">
      <w:pPr>
        <w:spacing w:line="360" w:lineRule="auto"/>
        <w:jc w:val="both"/>
        <w:rPr>
          <w:rFonts w:ascii="Arial" w:hAnsi="Arial" w:cs="Arial"/>
          <w:color w:val="000000" w:themeColor="text1"/>
        </w:rPr>
      </w:pPr>
    </w:p>
    <w:p w14:paraId="41F00D45" w14:textId="77777777" w:rsidR="00E83BF7" w:rsidRPr="00E83BF7" w:rsidRDefault="00E83BF7" w:rsidP="005B2285">
      <w:pPr>
        <w:spacing w:line="360" w:lineRule="auto"/>
        <w:jc w:val="both"/>
        <w:rPr>
          <w:rFonts w:ascii="Arial" w:hAnsi="Arial" w:cs="Arial"/>
          <w:color w:val="000000" w:themeColor="text1"/>
        </w:rPr>
      </w:pPr>
      <w:r w:rsidRPr="00E83BF7">
        <w:rPr>
          <w:rFonts w:ascii="Arial" w:hAnsi="Arial" w:cs="Arial"/>
          <w:color w:val="000000" w:themeColor="text1"/>
        </w:rPr>
        <w:t>En síntesis, el comportamiento de la mortalidad infantil en Capital Salud EPS-S durante 2025 muestra una tasa general baja, pero con diferencias territoriales relevantes que deben orientar la priorización de intervenciones. La lectura integrada permite identificar dos focos de acción: por un lado, las localidades con mayor carga absoluta de casos, como Ciudad Bolívar, Kennedy, Usme y Engativá; y por otro, las localidades con tasas específicas más elevadas, como Antonio Nariño, Santa Fe, Usme y San Cristóbal. Estos hallazgos refuerzan la necesidad de fortalecer la vigilancia epidemiológica, el análisis individual de casos, la gestión nominal de gestantes, recién nacidos y lactantes, así como la articulación efectiva entre la EPS, la red prestadora y las acciones territoriales de salud pública.</w:t>
      </w:r>
    </w:p>
    <w:p w14:paraId="19AE7105" w14:textId="77777777" w:rsidR="00131048" w:rsidRPr="00242DFB" w:rsidRDefault="00131048" w:rsidP="005B2285">
      <w:pPr>
        <w:spacing w:line="360" w:lineRule="auto"/>
        <w:jc w:val="both"/>
        <w:rPr>
          <w:rFonts w:ascii="Arial" w:hAnsi="Arial" w:cs="Arial"/>
          <w:color w:val="000000" w:themeColor="text1"/>
        </w:rPr>
      </w:pPr>
    </w:p>
    <w:p w14:paraId="7C4D67D3" w14:textId="77777777" w:rsidR="00131048" w:rsidRPr="00131048" w:rsidRDefault="00131048" w:rsidP="005B2285">
      <w:pPr>
        <w:spacing w:line="360" w:lineRule="auto"/>
        <w:jc w:val="both"/>
        <w:rPr>
          <w:rFonts w:ascii="Arial" w:hAnsi="Arial" w:cs="Arial"/>
          <w:color w:val="000000" w:themeColor="text1"/>
        </w:rPr>
      </w:pPr>
      <w:r w:rsidRPr="00131048">
        <w:rPr>
          <w:rFonts w:ascii="Arial" w:hAnsi="Arial" w:cs="Arial"/>
          <w:color w:val="000000" w:themeColor="text1"/>
        </w:rPr>
        <w:t xml:space="preserve">Luego de identificar la distribución territorial de los casos de mortalidad infantil en la población afiliada a Capital Salud EPS-S, resulta necesario profundizar en el análisis de las </w:t>
      </w:r>
      <w:r w:rsidRPr="00131048">
        <w:rPr>
          <w:rFonts w:ascii="Arial" w:hAnsi="Arial" w:cs="Arial"/>
          <w:b/>
          <w:bCs/>
          <w:color w:val="000000" w:themeColor="text1"/>
        </w:rPr>
        <w:t>causas básicas de defunción</w:t>
      </w:r>
      <w:r w:rsidRPr="00131048">
        <w:rPr>
          <w:rFonts w:ascii="Arial" w:hAnsi="Arial" w:cs="Arial"/>
          <w:color w:val="000000" w:themeColor="text1"/>
        </w:rPr>
        <w:t>, con el fin de establecer si los eventos se relacionan principalmente con condiciones perinatales, malformaciones congénitas, infecciones neonatales u otras causas potencialmente prevenibles o mitigables. Esta lectura permite complementar el análisis territorial con una aproximación clínica y epidemiológica del evento, orientando la identificación de puntos críticos en la atención prenatal, el parto, el cuidado neonatal inmediato y el seguimiento posterior al nacimiento. En este sentido, la Tabla 13 presenta la proporción de causas básicas de mortalidad infantil registradas en Capital Salud EPS-S durante el periodo enero-diciembre de 2025.</w:t>
      </w:r>
    </w:p>
    <w:p w14:paraId="34F41AEE" w14:textId="77777777" w:rsidR="00131048" w:rsidRPr="00242DFB" w:rsidRDefault="00131048" w:rsidP="005B2285">
      <w:pPr>
        <w:spacing w:line="360" w:lineRule="auto"/>
        <w:jc w:val="both"/>
        <w:rPr>
          <w:rFonts w:ascii="Arial" w:hAnsi="Arial" w:cs="Arial"/>
          <w:color w:val="000000" w:themeColor="text1"/>
        </w:rPr>
      </w:pPr>
    </w:p>
    <w:p w14:paraId="18A75B73" w14:textId="77777777" w:rsidR="00CF1951" w:rsidRPr="00242DFB" w:rsidRDefault="00CF1951" w:rsidP="005B2285">
      <w:pPr>
        <w:spacing w:line="360" w:lineRule="auto"/>
        <w:jc w:val="both"/>
        <w:rPr>
          <w:rFonts w:ascii="Arial" w:hAnsi="Arial" w:cs="Arial"/>
          <w:color w:val="000000" w:themeColor="text1"/>
        </w:rPr>
      </w:pPr>
    </w:p>
    <w:p w14:paraId="34C97801" w14:textId="77777777" w:rsidR="00CF1951" w:rsidRPr="00242DFB" w:rsidRDefault="00CF1951" w:rsidP="005B2285">
      <w:pPr>
        <w:spacing w:line="360" w:lineRule="auto"/>
        <w:jc w:val="both"/>
        <w:rPr>
          <w:rFonts w:ascii="Arial" w:hAnsi="Arial" w:cs="Arial"/>
          <w:color w:val="000000" w:themeColor="text1"/>
        </w:rPr>
      </w:pPr>
    </w:p>
    <w:p w14:paraId="103C669D" w14:textId="77777777" w:rsidR="00CF1951" w:rsidRPr="00242DFB" w:rsidRDefault="00CF1951" w:rsidP="005B2285">
      <w:pPr>
        <w:spacing w:line="360" w:lineRule="auto"/>
        <w:jc w:val="both"/>
        <w:rPr>
          <w:rFonts w:ascii="Arial" w:hAnsi="Arial" w:cs="Arial"/>
          <w:color w:val="000000" w:themeColor="text1"/>
        </w:rPr>
      </w:pPr>
    </w:p>
    <w:p w14:paraId="76A42019" w14:textId="78D1E6B3" w:rsidR="00131048" w:rsidRPr="00242DFB" w:rsidRDefault="00131048" w:rsidP="005B2285">
      <w:pPr>
        <w:pStyle w:val="Descripcin"/>
        <w:keepNext/>
        <w:spacing w:after="0"/>
        <w:jc w:val="center"/>
        <w:rPr>
          <w:rFonts w:ascii="Arial" w:hAnsi="Arial" w:cs="Arial"/>
          <w:color w:val="000000" w:themeColor="text1"/>
          <w:sz w:val="24"/>
          <w:szCs w:val="24"/>
        </w:rPr>
      </w:pPr>
      <w:bookmarkStart w:id="68" w:name="_Toc233574873"/>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13</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Proporción de causas básicas de mortalidad infantil en Capital Salud EPS-S, Bogotá D.C., enero-diciembre de 2025</w:t>
      </w:r>
      <w:bookmarkEnd w:id="68"/>
    </w:p>
    <w:tbl>
      <w:tblPr>
        <w:tblW w:w="9047" w:type="dxa"/>
        <w:jc w:val="center"/>
        <w:tblLayout w:type="fixed"/>
        <w:tblCellMar>
          <w:left w:w="70" w:type="dxa"/>
          <w:right w:w="70" w:type="dxa"/>
        </w:tblCellMar>
        <w:tblLook w:val="04A0" w:firstRow="1" w:lastRow="0" w:firstColumn="1" w:lastColumn="0" w:noHBand="0" w:noVBand="1"/>
      </w:tblPr>
      <w:tblGrid>
        <w:gridCol w:w="6492"/>
        <w:gridCol w:w="1134"/>
        <w:gridCol w:w="1421"/>
      </w:tblGrid>
      <w:tr w:rsidR="009F762E" w:rsidRPr="00242DFB" w14:paraId="354A2235" w14:textId="77777777" w:rsidTr="002A1E1C">
        <w:trPr>
          <w:cantSplit/>
          <w:trHeight w:val="270"/>
          <w:tblHeader/>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012A5017" w14:textId="29284291"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Causas agrupadas</w:t>
            </w:r>
            <w:r w:rsidR="00CF1951" w:rsidRPr="00242DFB">
              <w:rPr>
                <w:rStyle w:val="Refdenotaalpie"/>
                <w:rFonts w:ascii="Arial" w:eastAsia="Arial" w:hAnsi="Arial" w:cs="Arial"/>
                <w:b/>
                <w:bCs/>
                <w:color w:val="000000" w:themeColor="text1"/>
              </w:rPr>
              <w:footnoteReference w:id="7"/>
            </w:r>
            <w:r w:rsidRPr="00242DFB">
              <w:rPr>
                <w:rFonts w:ascii="Arial" w:eastAsia="Arial" w:hAnsi="Arial" w:cs="Arial"/>
                <w:b/>
                <w:bCs/>
                <w:color w:val="000000" w:themeColor="text1"/>
              </w:rPr>
              <w:t xml:space="preserve"> 6/67</w:t>
            </w:r>
          </w:p>
        </w:tc>
        <w:tc>
          <w:tcPr>
            <w:tcW w:w="1134" w:type="dxa"/>
            <w:tcBorders>
              <w:top w:val="single" w:sz="4" w:space="0" w:color="000000"/>
              <w:left w:val="single" w:sz="4" w:space="0" w:color="000000"/>
              <w:bottom w:val="single" w:sz="4" w:space="0" w:color="000000"/>
              <w:right w:val="single" w:sz="4" w:space="0" w:color="000000"/>
            </w:tcBorders>
            <w:vAlign w:val="center"/>
          </w:tcPr>
          <w:p w14:paraId="4F4F3DA0"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b/>
                <w:bCs/>
                <w:color w:val="000000" w:themeColor="text1"/>
              </w:rPr>
              <w:t>Casos</w:t>
            </w:r>
          </w:p>
        </w:tc>
        <w:tc>
          <w:tcPr>
            <w:tcW w:w="1421" w:type="dxa"/>
            <w:tcBorders>
              <w:top w:val="single" w:sz="4" w:space="0" w:color="000000"/>
              <w:left w:val="single" w:sz="4" w:space="0" w:color="000000"/>
              <w:bottom w:val="single" w:sz="4" w:space="0" w:color="000000"/>
              <w:right w:val="single" w:sz="4" w:space="0" w:color="000000"/>
            </w:tcBorders>
            <w:vAlign w:val="center"/>
          </w:tcPr>
          <w:p w14:paraId="2DFBF09A"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b/>
                <w:bCs/>
                <w:color w:val="000000" w:themeColor="text1"/>
              </w:rPr>
              <w:t>Proporción</w:t>
            </w:r>
          </w:p>
        </w:tc>
      </w:tr>
      <w:tr w:rsidR="009F762E" w:rsidRPr="00242DFB" w14:paraId="708421A3" w14:textId="77777777" w:rsidTr="002A1E1C">
        <w:trPr>
          <w:cantSplit/>
          <w:trHeight w:val="270"/>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780F120F"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4,04 trastornos respiratorios específicos del periodo perinatal</w:t>
            </w:r>
          </w:p>
        </w:tc>
        <w:tc>
          <w:tcPr>
            <w:tcW w:w="1134" w:type="dxa"/>
            <w:tcBorders>
              <w:top w:val="single" w:sz="4" w:space="0" w:color="000000"/>
              <w:left w:val="single" w:sz="4" w:space="0" w:color="000000"/>
              <w:bottom w:val="single" w:sz="4" w:space="0" w:color="000000"/>
              <w:right w:val="single" w:sz="4" w:space="0" w:color="000000"/>
            </w:tcBorders>
            <w:vAlign w:val="center"/>
          </w:tcPr>
          <w:p w14:paraId="7534BC3D"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15</w:t>
            </w:r>
          </w:p>
        </w:tc>
        <w:tc>
          <w:tcPr>
            <w:tcW w:w="1421" w:type="dxa"/>
            <w:tcBorders>
              <w:top w:val="single" w:sz="4" w:space="0" w:color="000000"/>
              <w:left w:val="single" w:sz="4" w:space="0" w:color="000000"/>
              <w:bottom w:val="single" w:sz="4" w:space="0" w:color="000000"/>
              <w:right w:val="single" w:sz="4" w:space="0" w:color="000000"/>
            </w:tcBorders>
            <w:vAlign w:val="center"/>
          </w:tcPr>
          <w:p w14:paraId="0326547E"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22,4%</w:t>
            </w:r>
          </w:p>
        </w:tc>
      </w:tr>
      <w:tr w:rsidR="009F762E" w:rsidRPr="00242DFB" w14:paraId="7D6B4B99"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180B6F71"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 xml:space="preserve">6,13 Malformaciones congénitas, deformidades y anomalías cromosómicas </w:t>
            </w:r>
          </w:p>
        </w:tc>
        <w:tc>
          <w:tcPr>
            <w:tcW w:w="1134" w:type="dxa"/>
            <w:tcBorders>
              <w:top w:val="single" w:sz="4" w:space="0" w:color="000000"/>
              <w:left w:val="single" w:sz="4" w:space="0" w:color="000000"/>
              <w:bottom w:val="single" w:sz="4" w:space="0" w:color="000000"/>
              <w:right w:val="single" w:sz="4" w:space="0" w:color="000000"/>
            </w:tcBorders>
            <w:vAlign w:val="center"/>
          </w:tcPr>
          <w:p w14:paraId="09BF0AF6"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14</w:t>
            </w:r>
          </w:p>
        </w:tc>
        <w:tc>
          <w:tcPr>
            <w:tcW w:w="1421" w:type="dxa"/>
            <w:tcBorders>
              <w:top w:val="single" w:sz="4" w:space="0" w:color="000000"/>
              <w:left w:val="single" w:sz="4" w:space="0" w:color="000000"/>
              <w:bottom w:val="single" w:sz="4" w:space="0" w:color="000000"/>
              <w:right w:val="single" w:sz="4" w:space="0" w:color="000000"/>
            </w:tcBorders>
            <w:vAlign w:val="center"/>
          </w:tcPr>
          <w:p w14:paraId="011428B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20,9%</w:t>
            </w:r>
          </w:p>
        </w:tc>
      </w:tr>
      <w:tr w:rsidR="009F762E" w:rsidRPr="00242DFB" w14:paraId="41A411EB"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1840193B"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4,05 Sepsis bacteriana del recién nacido</w:t>
            </w:r>
          </w:p>
        </w:tc>
        <w:tc>
          <w:tcPr>
            <w:tcW w:w="1134" w:type="dxa"/>
            <w:tcBorders>
              <w:top w:val="single" w:sz="4" w:space="0" w:color="000000"/>
              <w:left w:val="single" w:sz="4" w:space="0" w:color="000000"/>
              <w:bottom w:val="single" w:sz="4" w:space="0" w:color="000000"/>
              <w:right w:val="single" w:sz="4" w:space="0" w:color="000000"/>
            </w:tcBorders>
            <w:vAlign w:val="center"/>
          </w:tcPr>
          <w:p w14:paraId="6E14B9F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12</w:t>
            </w:r>
          </w:p>
        </w:tc>
        <w:tc>
          <w:tcPr>
            <w:tcW w:w="1421" w:type="dxa"/>
            <w:tcBorders>
              <w:top w:val="single" w:sz="4" w:space="0" w:color="000000"/>
              <w:left w:val="single" w:sz="4" w:space="0" w:color="000000"/>
              <w:bottom w:val="single" w:sz="4" w:space="0" w:color="000000"/>
              <w:right w:val="single" w:sz="4" w:space="0" w:color="000000"/>
            </w:tcBorders>
            <w:vAlign w:val="center"/>
          </w:tcPr>
          <w:p w14:paraId="2C2FD25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17,9%</w:t>
            </w:r>
          </w:p>
        </w:tc>
      </w:tr>
      <w:tr w:rsidR="009F762E" w:rsidRPr="00242DFB" w14:paraId="4B47DA7D"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4E502974"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 xml:space="preserve">4,06 Resto de ciertas afecciones originadas en el período perinatal </w:t>
            </w:r>
          </w:p>
        </w:tc>
        <w:tc>
          <w:tcPr>
            <w:tcW w:w="1134" w:type="dxa"/>
            <w:tcBorders>
              <w:top w:val="single" w:sz="4" w:space="0" w:color="000000"/>
              <w:left w:val="single" w:sz="4" w:space="0" w:color="000000"/>
              <w:bottom w:val="single" w:sz="4" w:space="0" w:color="000000"/>
              <w:right w:val="single" w:sz="4" w:space="0" w:color="000000"/>
            </w:tcBorders>
            <w:vAlign w:val="center"/>
          </w:tcPr>
          <w:p w14:paraId="7453331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5</w:t>
            </w:r>
          </w:p>
        </w:tc>
        <w:tc>
          <w:tcPr>
            <w:tcW w:w="1421" w:type="dxa"/>
            <w:tcBorders>
              <w:top w:val="single" w:sz="4" w:space="0" w:color="000000"/>
              <w:left w:val="single" w:sz="4" w:space="0" w:color="000000"/>
              <w:bottom w:val="single" w:sz="4" w:space="0" w:color="000000"/>
              <w:right w:val="single" w:sz="4" w:space="0" w:color="000000"/>
            </w:tcBorders>
            <w:vAlign w:val="center"/>
          </w:tcPr>
          <w:p w14:paraId="36DCAF8F"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7,5%</w:t>
            </w:r>
          </w:p>
        </w:tc>
      </w:tr>
      <w:tr w:rsidR="009F762E" w:rsidRPr="00242DFB" w14:paraId="12C1D624"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1E95C993"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4,02 Feto o recién nacido afectados por complicaciones obstétricas y traumatismo del nacimiento</w:t>
            </w:r>
          </w:p>
        </w:tc>
        <w:tc>
          <w:tcPr>
            <w:tcW w:w="1134" w:type="dxa"/>
            <w:tcBorders>
              <w:top w:val="single" w:sz="4" w:space="0" w:color="000000"/>
              <w:left w:val="single" w:sz="4" w:space="0" w:color="000000"/>
              <w:bottom w:val="single" w:sz="4" w:space="0" w:color="000000"/>
              <w:right w:val="single" w:sz="4" w:space="0" w:color="000000"/>
            </w:tcBorders>
            <w:vAlign w:val="center"/>
          </w:tcPr>
          <w:p w14:paraId="7362CFE9"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4</w:t>
            </w:r>
          </w:p>
        </w:tc>
        <w:tc>
          <w:tcPr>
            <w:tcW w:w="1421" w:type="dxa"/>
            <w:tcBorders>
              <w:top w:val="single" w:sz="4" w:space="0" w:color="000000"/>
              <w:left w:val="single" w:sz="4" w:space="0" w:color="000000"/>
              <w:bottom w:val="single" w:sz="4" w:space="0" w:color="000000"/>
              <w:right w:val="single" w:sz="4" w:space="0" w:color="000000"/>
            </w:tcBorders>
            <w:vAlign w:val="center"/>
          </w:tcPr>
          <w:p w14:paraId="30CF10B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6,0%</w:t>
            </w:r>
          </w:p>
        </w:tc>
      </w:tr>
      <w:tr w:rsidR="009F762E" w:rsidRPr="00242DFB" w14:paraId="0B9C3647"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3140CE63"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4,03 Retardo del crecimiento fetal, desnutrición fetal, gestación corta y bajo peso al nacer</w:t>
            </w:r>
          </w:p>
        </w:tc>
        <w:tc>
          <w:tcPr>
            <w:tcW w:w="1134" w:type="dxa"/>
            <w:tcBorders>
              <w:top w:val="single" w:sz="4" w:space="0" w:color="000000"/>
              <w:left w:val="single" w:sz="4" w:space="0" w:color="000000"/>
              <w:bottom w:val="single" w:sz="4" w:space="0" w:color="000000"/>
              <w:right w:val="single" w:sz="4" w:space="0" w:color="000000"/>
            </w:tcBorders>
            <w:vAlign w:val="center"/>
          </w:tcPr>
          <w:p w14:paraId="1E3A855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4</w:t>
            </w:r>
          </w:p>
        </w:tc>
        <w:tc>
          <w:tcPr>
            <w:tcW w:w="1421" w:type="dxa"/>
            <w:tcBorders>
              <w:top w:val="single" w:sz="4" w:space="0" w:color="000000"/>
              <w:left w:val="single" w:sz="4" w:space="0" w:color="000000"/>
              <w:bottom w:val="single" w:sz="4" w:space="0" w:color="000000"/>
              <w:right w:val="single" w:sz="4" w:space="0" w:color="000000"/>
            </w:tcBorders>
            <w:vAlign w:val="center"/>
          </w:tcPr>
          <w:p w14:paraId="461AC249"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6,0%</w:t>
            </w:r>
          </w:p>
        </w:tc>
      </w:tr>
      <w:tr w:rsidR="009F762E" w:rsidRPr="00242DFB" w14:paraId="75CB0F70"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02DAE769"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1,08 Infecciones respiratorias agudas</w:t>
            </w:r>
          </w:p>
        </w:tc>
        <w:tc>
          <w:tcPr>
            <w:tcW w:w="1134" w:type="dxa"/>
            <w:tcBorders>
              <w:top w:val="single" w:sz="4" w:space="0" w:color="000000"/>
              <w:left w:val="single" w:sz="4" w:space="0" w:color="000000"/>
              <w:bottom w:val="single" w:sz="4" w:space="0" w:color="000000"/>
              <w:right w:val="single" w:sz="4" w:space="0" w:color="000000"/>
            </w:tcBorders>
            <w:vAlign w:val="center"/>
          </w:tcPr>
          <w:p w14:paraId="22EC61A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c>
          <w:tcPr>
            <w:tcW w:w="1421" w:type="dxa"/>
            <w:tcBorders>
              <w:top w:val="single" w:sz="4" w:space="0" w:color="000000"/>
              <w:left w:val="single" w:sz="4" w:space="0" w:color="000000"/>
              <w:bottom w:val="single" w:sz="4" w:space="0" w:color="000000"/>
              <w:right w:val="single" w:sz="4" w:space="0" w:color="000000"/>
            </w:tcBorders>
            <w:vAlign w:val="center"/>
          </w:tcPr>
          <w:p w14:paraId="616B8B47"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3,0%</w:t>
            </w:r>
          </w:p>
        </w:tc>
      </w:tr>
      <w:tr w:rsidR="009F762E" w:rsidRPr="00242DFB" w14:paraId="79EB5076"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0A1C2411"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1,09 Resto de ciertas enfermedades infecciosas y parasitarias</w:t>
            </w:r>
          </w:p>
        </w:tc>
        <w:tc>
          <w:tcPr>
            <w:tcW w:w="1134" w:type="dxa"/>
            <w:tcBorders>
              <w:top w:val="single" w:sz="4" w:space="0" w:color="000000"/>
              <w:left w:val="single" w:sz="4" w:space="0" w:color="000000"/>
              <w:bottom w:val="single" w:sz="4" w:space="0" w:color="000000"/>
              <w:right w:val="single" w:sz="4" w:space="0" w:color="000000"/>
            </w:tcBorders>
            <w:vAlign w:val="center"/>
          </w:tcPr>
          <w:p w14:paraId="74A054B3"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c>
          <w:tcPr>
            <w:tcW w:w="1421" w:type="dxa"/>
            <w:tcBorders>
              <w:top w:val="single" w:sz="4" w:space="0" w:color="000000"/>
              <w:left w:val="single" w:sz="4" w:space="0" w:color="000000"/>
              <w:bottom w:val="single" w:sz="4" w:space="0" w:color="000000"/>
              <w:right w:val="single" w:sz="4" w:space="0" w:color="000000"/>
            </w:tcBorders>
            <w:vAlign w:val="center"/>
          </w:tcPr>
          <w:p w14:paraId="45DE3D87"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3,0%</w:t>
            </w:r>
          </w:p>
        </w:tc>
      </w:tr>
      <w:tr w:rsidR="009F762E" w:rsidRPr="00242DFB" w14:paraId="74E5397F"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537AB8B3"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2,12 Leucemia</w:t>
            </w:r>
          </w:p>
        </w:tc>
        <w:tc>
          <w:tcPr>
            <w:tcW w:w="1134" w:type="dxa"/>
            <w:tcBorders>
              <w:top w:val="single" w:sz="4" w:space="0" w:color="000000"/>
              <w:left w:val="single" w:sz="4" w:space="0" w:color="000000"/>
              <w:bottom w:val="single" w:sz="4" w:space="0" w:color="000000"/>
              <w:right w:val="single" w:sz="4" w:space="0" w:color="000000"/>
            </w:tcBorders>
            <w:vAlign w:val="center"/>
          </w:tcPr>
          <w:p w14:paraId="260C925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c>
          <w:tcPr>
            <w:tcW w:w="1421" w:type="dxa"/>
            <w:tcBorders>
              <w:top w:val="single" w:sz="4" w:space="0" w:color="000000"/>
              <w:left w:val="single" w:sz="4" w:space="0" w:color="000000"/>
              <w:bottom w:val="single" w:sz="4" w:space="0" w:color="000000"/>
              <w:right w:val="single" w:sz="4" w:space="0" w:color="000000"/>
            </w:tcBorders>
            <w:vAlign w:val="center"/>
          </w:tcPr>
          <w:p w14:paraId="4B57730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3,0%</w:t>
            </w:r>
          </w:p>
        </w:tc>
      </w:tr>
      <w:tr w:rsidR="009F762E" w:rsidRPr="00242DFB" w14:paraId="08ED7DBB"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18DBA870"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2,15 Tumores: in situ, benignos y de comportamiento incierto o desconocido</w:t>
            </w:r>
          </w:p>
        </w:tc>
        <w:tc>
          <w:tcPr>
            <w:tcW w:w="1134" w:type="dxa"/>
            <w:tcBorders>
              <w:top w:val="single" w:sz="4" w:space="0" w:color="000000"/>
              <w:left w:val="single" w:sz="4" w:space="0" w:color="000000"/>
              <w:bottom w:val="single" w:sz="4" w:space="0" w:color="000000"/>
              <w:right w:val="single" w:sz="4" w:space="0" w:color="000000"/>
            </w:tcBorders>
            <w:vAlign w:val="center"/>
          </w:tcPr>
          <w:p w14:paraId="3DD9885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c>
          <w:tcPr>
            <w:tcW w:w="1421" w:type="dxa"/>
            <w:tcBorders>
              <w:top w:val="single" w:sz="4" w:space="0" w:color="000000"/>
              <w:left w:val="single" w:sz="4" w:space="0" w:color="000000"/>
              <w:bottom w:val="single" w:sz="4" w:space="0" w:color="000000"/>
              <w:right w:val="single" w:sz="4" w:space="0" w:color="000000"/>
            </w:tcBorders>
            <w:vAlign w:val="center"/>
          </w:tcPr>
          <w:p w14:paraId="5D5109B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3,0%</w:t>
            </w:r>
          </w:p>
        </w:tc>
      </w:tr>
      <w:tr w:rsidR="009F762E" w:rsidRPr="00242DFB" w14:paraId="7FCF18FE"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19FD2BC7"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4,01 Feto o recién nacido afectados por ciertas afecciones maternas</w:t>
            </w:r>
          </w:p>
        </w:tc>
        <w:tc>
          <w:tcPr>
            <w:tcW w:w="1134" w:type="dxa"/>
            <w:tcBorders>
              <w:top w:val="single" w:sz="4" w:space="0" w:color="000000"/>
              <w:left w:val="single" w:sz="4" w:space="0" w:color="000000"/>
              <w:bottom w:val="single" w:sz="4" w:space="0" w:color="000000"/>
              <w:right w:val="single" w:sz="4" w:space="0" w:color="000000"/>
            </w:tcBorders>
            <w:vAlign w:val="center"/>
          </w:tcPr>
          <w:p w14:paraId="208537A7"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c>
          <w:tcPr>
            <w:tcW w:w="1421" w:type="dxa"/>
            <w:tcBorders>
              <w:top w:val="single" w:sz="4" w:space="0" w:color="000000"/>
              <w:left w:val="single" w:sz="4" w:space="0" w:color="000000"/>
              <w:bottom w:val="single" w:sz="4" w:space="0" w:color="000000"/>
              <w:right w:val="single" w:sz="4" w:space="0" w:color="000000"/>
            </w:tcBorders>
            <w:vAlign w:val="center"/>
          </w:tcPr>
          <w:p w14:paraId="31B4CAA6"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3,0%</w:t>
            </w:r>
          </w:p>
        </w:tc>
      </w:tr>
      <w:tr w:rsidR="009F762E" w:rsidRPr="00242DFB" w14:paraId="4579D668"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46FECE8B"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lastRenderedPageBreak/>
              <w:t>2,14 Tumores malignos de otras localizaciones y de las no especificadas</w:t>
            </w:r>
          </w:p>
        </w:tc>
        <w:tc>
          <w:tcPr>
            <w:tcW w:w="1134" w:type="dxa"/>
            <w:tcBorders>
              <w:top w:val="single" w:sz="4" w:space="0" w:color="000000"/>
              <w:left w:val="single" w:sz="4" w:space="0" w:color="000000"/>
              <w:bottom w:val="single" w:sz="4" w:space="0" w:color="000000"/>
              <w:right w:val="single" w:sz="4" w:space="0" w:color="000000"/>
            </w:tcBorders>
            <w:vAlign w:val="center"/>
          </w:tcPr>
          <w:p w14:paraId="38469784"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c>
          <w:tcPr>
            <w:tcW w:w="1421" w:type="dxa"/>
            <w:tcBorders>
              <w:top w:val="single" w:sz="4" w:space="0" w:color="000000"/>
              <w:left w:val="single" w:sz="4" w:space="0" w:color="000000"/>
              <w:bottom w:val="single" w:sz="4" w:space="0" w:color="000000"/>
              <w:right w:val="single" w:sz="4" w:space="0" w:color="000000"/>
            </w:tcBorders>
            <w:vAlign w:val="center"/>
          </w:tcPr>
          <w:p w14:paraId="072F87CF"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1,5%</w:t>
            </w:r>
          </w:p>
        </w:tc>
      </w:tr>
      <w:tr w:rsidR="009F762E" w:rsidRPr="00242DFB" w14:paraId="53ACDC0E" w14:textId="77777777" w:rsidTr="002A1E1C">
        <w:trPr>
          <w:cantSplit/>
          <w:trHeight w:val="255"/>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6E23352F"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6,07 Apendicitis, hernia de la cavidad abdominal y obstrucción intestinal</w:t>
            </w:r>
          </w:p>
        </w:tc>
        <w:tc>
          <w:tcPr>
            <w:tcW w:w="1134" w:type="dxa"/>
            <w:tcBorders>
              <w:top w:val="single" w:sz="4" w:space="0" w:color="000000"/>
              <w:left w:val="single" w:sz="4" w:space="0" w:color="000000"/>
              <w:bottom w:val="single" w:sz="4" w:space="0" w:color="000000"/>
              <w:right w:val="single" w:sz="4" w:space="0" w:color="000000"/>
            </w:tcBorders>
            <w:vAlign w:val="center"/>
          </w:tcPr>
          <w:p w14:paraId="57BC515F"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c>
          <w:tcPr>
            <w:tcW w:w="1421" w:type="dxa"/>
            <w:tcBorders>
              <w:top w:val="single" w:sz="4" w:space="0" w:color="000000"/>
              <w:left w:val="single" w:sz="4" w:space="0" w:color="000000"/>
              <w:bottom w:val="single" w:sz="4" w:space="0" w:color="000000"/>
              <w:right w:val="single" w:sz="4" w:space="0" w:color="000000"/>
            </w:tcBorders>
            <w:vAlign w:val="center"/>
          </w:tcPr>
          <w:p w14:paraId="6E8A88BE"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1,5%</w:t>
            </w:r>
          </w:p>
        </w:tc>
      </w:tr>
      <w:tr w:rsidR="009F762E" w:rsidRPr="00242DFB" w14:paraId="709518FE" w14:textId="77777777" w:rsidTr="002A1E1C">
        <w:trPr>
          <w:cantSplit/>
          <w:trHeight w:val="270"/>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2982E8D1"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6,09 Resto de enfermedades del sistema digestivo</w:t>
            </w:r>
          </w:p>
        </w:tc>
        <w:tc>
          <w:tcPr>
            <w:tcW w:w="1134" w:type="dxa"/>
            <w:tcBorders>
              <w:top w:val="single" w:sz="4" w:space="0" w:color="000000"/>
              <w:left w:val="single" w:sz="4" w:space="0" w:color="000000"/>
              <w:bottom w:val="single" w:sz="4" w:space="0" w:color="000000"/>
              <w:right w:val="single" w:sz="4" w:space="0" w:color="000000"/>
            </w:tcBorders>
            <w:vAlign w:val="center"/>
          </w:tcPr>
          <w:p w14:paraId="1E2A6AB3"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c>
          <w:tcPr>
            <w:tcW w:w="1421" w:type="dxa"/>
            <w:tcBorders>
              <w:top w:val="single" w:sz="4" w:space="0" w:color="000000"/>
              <w:left w:val="single" w:sz="4" w:space="0" w:color="000000"/>
              <w:bottom w:val="single" w:sz="4" w:space="0" w:color="000000"/>
              <w:right w:val="single" w:sz="4" w:space="0" w:color="000000"/>
            </w:tcBorders>
            <w:vAlign w:val="center"/>
          </w:tcPr>
          <w:p w14:paraId="5C4C2786"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1,5%</w:t>
            </w:r>
          </w:p>
        </w:tc>
      </w:tr>
      <w:tr w:rsidR="009F762E" w:rsidRPr="00242DFB" w14:paraId="32532DBD" w14:textId="77777777" w:rsidTr="002A1E1C">
        <w:trPr>
          <w:cantSplit/>
          <w:trHeight w:val="270"/>
          <w:jc w:val="center"/>
        </w:trPr>
        <w:tc>
          <w:tcPr>
            <w:tcW w:w="6492" w:type="dxa"/>
            <w:tcBorders>
              <w:top w:val="single" w:sz="4" w:space="0" w:color="000000"/>
              <w:left w:val="single" w:sz="4" w:space="0" w:color="000000"/>
              <w:bottom w:val="single" w:sz="4" w:space="0" w:color="000000"/>
              <w:right w:val="single" w:sz="4" w:space="0" w:color="000000"/>
            </w:tcBorders>
            <w:vAlign w:val="center"/>
          </w:tcPr>
          <w:p w14:paraId="22ECB5E5" w14:textId="00B4E3DF" w:rsidR="009F762E" w:rsidRPr="00242DFB" w:rsidRDefault="00000000" w:rsidP="005B2285">
            <w:pPr>
              <w:spacing w:line="360" w:lineRule="auto"/>
              <w:jc w:val="center"/>
              <w:rPr>
                <w:rFonts w:ascii="Arial" w:hAnsi="Arial" w:cs="Arial"/>
                <w:color w:val="000000" w:themeColor="text1"/>
              </w:rPr>
            </w:pPr>
            <w:bookmarkStart w:id="69" w:name="_Int_ZDl6RSSz"/>
            <w:r w:rsidRPr="00242DFB">
              <w:rPr>
                <w:rFonts w:ascii="Arial" w:eastAsia="Arial" w:hAnsi="Arial" w:cs="Arial"/>
                <w:b/>
                <w:bCs/>
                <w:color w:val="000000" w:themeColor="text1"/>
              </w:rPr>
              <w:t>Total</w:t>
            </w:r>
            <w:bookmarkEnd w:id="69"/>
            <w:r w:rsidR="000B3A12" w:rsidRPr="00242DFB">
              <w:rPr>
                <w:rFonts w:ascii="Arial" w:eastAsia="Arial" w:hAnsi="Arial" w:cs="Arial"/>
                <w:b/>
                <w:bCs/>
                <w:color w:val="000000" w:themeColor="text1"/>
              </w:rPr>
              <w:t>,</w:t>
            </w:r>
            <w:r w:rsidRPr="00242DFB">
              <w:rPr>
                <w:rFonts w:ascii="Arial" w:eastAsia="Arial" w:hAnsi="Arial" w:cs="Arial"/>
                <w:b/>
                <w:bCs/>
                <w:color w:val="000000" w:themeColor="text1"/>
              </w:rPr>
              <w:t xml:space="preserve"> general</w:t>
            </w:r>
          </w:p>
        </w:tc>
        <w:tc>
          <w:tcPr>
            <w:tcW w:w="1134" w:type="dxa"/>
            <w:tcBorders>
              <w:top w:val="single" w:sz="4" w:space="0" w:color="000000"/>
              <w:left w:val="single" w:sz="4" w:space="0" w:color="000000"/>
              <w:bottom w:val="single" w:sz="4" w:space="0" w:color="000000"/>
              <w:right w:val="single" w:sz="4" w:space="0" w:color="000000"/>
            </w:tcBorders>
            <w:vAlign w:val="center"/>
          </w:tcPr>
          <w:p w14:paraId="6E0AE223"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67</w:t>
            </w:r>
          </w:p>
        </w:tc>
        <w:tc>
          <w:tcPr>
            <w:tcW w:w="1421" w:type="dxa"/>
            <w:tcBorders>
              <w:top w:val="single" w:sz="4" w:space="0" w:color="000000"/>
              <w:left w:val="single" w:sz="4" w:space="0" w:color="000000"/>
              <w:bottom w:val="single" w:sz="4" w:space="0" w:color="000000"/>
              <w:right w:val="single" w:sz="4" w:space="0" w:color="000000"/>
            </w:tcBorders>
            <w:vAlign w:val="center"/>
          </w:tcPr>
          <w:p w14:paraId="329251A6"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100%</w:t>
            </w:r>
          </w:p>
        </w:tc>
      </w:tr>
    </w:tbl>
    <w:p w14:paraId="3C0E7CBC" w14:textId="77777777" w:rsidR="009F762E" w:rsidRPr="00242DFB" w:rsidRDefault="00000000" w:rsidP="005B2285">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Fuente 2025: Aplicativo RUAF-ND. Sistema de Estadísticas Vitales SDS -EEVV-PRELIMINARES ajustado 10-12-2025</w:t>
      </w:r>
    </w:p>
    <w:p w14:paraId="12D4004E" w14:textId="77777777" w:rsidR="009F762E" w:rsidRPr="00242DFB" w:rsidRDefault="00000000" w:rsidP="005B2285">
      <w:pPr>
        <w:spacing w:line="360" w:lineRule="auto"/>
        <w:ind w:left="720"/>
        <w:jc w:val="center"/>
        <w:rPr>
          <w:rFonts w:ascii="Arial" w:hAnsi="Arial" w:cs="Arial"/>
          <w:color w:val="000000" w:themeColor="text1"/>
        </w:rPr>
      </w:pPr>
      <w:r w:rsidRPr="00242DFB">
        <w:rPr>
          <w:rFonts w:ascii="Arial" w:eastAsia="Arial" w:hAnsi="Arial" w:cs="Arial"/>
          <w:color w:val="000000"/>
        </w:rPr>
        <w:t xml:space="preserve"> </w:t>
      </w:r>
    </w:p>
    <w:p w14:paraId="6A1C792A"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El análisis de las causas agrupadas de mortalidad infantil en la población afiliada a Capital Salud EPS-S en Bogotá evidencia un predominio de condiciones asociadas al período perinatal y neonatal. La principal causa correspondió a los trastornos respiratorios específicos del período perinatal con 15 casos (22,4%), seguida de las malformaciones congénitas, deformidades y anomalías cromosómicas con 14 casos (20,9%) y la sepsis bacteriana del recién nacido con 12 casos (17,9%). Este comportamiento refleja la influencia de factores relacionados con la </w:t>
      </w:r>
      <w:proofErr w:type="spellStart"/>
      <w:r w:rsidRPr="00242DFB">
        <w:rPr>
          <w:rFonts w:ascii="Arial" w:eastAsia="Arial" w:hAnsi="Arial" w:cs="Arial"/>
          <w:color w:val="000000"/>
        </w:rPr>
        <w:t>prematurez</w:t>
      </w:r>
      <w:proofErr w:type="spellEnd"/>
      <w:r w:rsidRPr="00242DFB">
        <w:rPr>
          <w:rFonts w:ascii="Arial" w:eastAsia="Arial" w:hAnsi="Arial" w:cs="Arial"/>
          <w:color w:val="000000"/>
        </w:rPr>
        <w:t>, complicaciones neonatales, condiciones congénitas y riesgos asociados a la atención materno-perinatal.</w:t>
      </w:r>
    </w:p>
    <w:p w14:paraId="61612F60"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68635E06"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Adicionalmente, se identificaron casos relacionados con otras afecciones originadas en el período perinatal (7,5%), complicaciones obstétricas y traumatismos del nacimiento (6,0%), así como retardo del crecimiento fetal y bajo peso al nacer (6,0%), lo que confirma la concentración de los eventos en etapas tempranas de la vida. Desde el enfoque epidemiológico, estos hallazgos resaltan la necesidad de fortalecer las acciones de control prenatal, la identificación oportuna de gestantes de alto riesgo, la atención segura del parto y el manejo integral neonatal, especialmente en la prevención y tratamiento temprano de complicaciones respiratorias e infecciosas del recién nacido.</w:t>
      </w:r>
    </w:p>
    <w:p w14:paraId="471AF873" w14:textId="77777777" w:rsidR="009F762E" w:rsidRPr="00242DFB" w:rsidRDefault="009F762E" w:rsidP="005B2285">
      <w:pPr>
        <w:spacing w:line="360" w:lineRule="auto"/>
        <w:rPr>
          <w:rFonts w:ascii="Arial" w:hAnsi="Arial" w:cs="Arial"/>
          <w:color w:val="000000" w:themeColor="text1"/>
        </w:rPr>
      </w:pPr>
    </w:p>
    <w:p w14:paraId="70BA3FAC" w14:textId="4B2BEB77" w:rsidR="009F762E" w:rsidRPr="00242DFB" w:rsidRDefault="00D55ABD" w:rsidP="005B2285">
      <w:pPr>
        <w:pStyle w:val="Ttulo2"/>
        <w:numPr>
          <w:ilvl w:val="1"/>
          <w:numId w:val="7"/>
        </w:numPr>
        <w:spacing w:before="0"/>
        <w:rPr>
          <w:rFonts w:ascii="Arial" w:hAnsi="Arial" w:cs="Arial"/>
          <w:b/>
          <w:bCs/>
          <w:color w:val="000000" w:themeColor="text1"/>
          <w:sz w:val="24"/>
          <w:szCs w:val="24"/>
        </w:rPr>
      </w:pPr>
      <w:bookmarkStart w:id="70" w:name="__RefHeading___Toc8596_542869190"/>
      <w:bookmarkEnd w:id="70"/>
      <w:r w:rsidRPr="00242DFB">
        <w:rPr>
          <w:rFonts w:ascii="Arial" w:hAnsi="Arial" w:cs="Arial"/>
          <w:b/>
          <w:bCs/>
          <w:color w:val="000000" w:themeColor="text1"/>
          <w:sz w:val="24"/>
          <w:szCs w:val="24"/>
        </w:rPr>
        <w:lastRenderedPageBreak/>
        <w:t xml:space="preserve"> </w:t>
      </w:r>
      <w:bookmarkStart w:id="71" w:name="_Toc233574837"/>
      <w:r w:rsidR="00000000" w:rsidRPr="00242DFB">
        <w:rPr>
          <w:rFonts w:ascii="Arial" w:hAnsi="Arial" w:cs="Arial"/>
          <w:b/>
          <w:bCs/>
          <w:color w:val="000000" w:themeColor="text1"/>
          <w:sz w:val="24"/>
          <w:szCs w:val="24"/>
        </w:rPr>
        <w:t>Coberturas de vacunación</w:t>
      </w:r>
      <w:r w:rsidR="00AF7C86">
        <w:rPr>
          <w:rStyle w:val="Refdenotaalpie"/>
          <w:rFonts w:ascii="Arial" w:hAnsi="Arial" w:cs="Arial"/>
          <w:b/>
          <w:bCs/>
          <w:color w:val="000000" w:themeColor="text1"/>
          <w:sz w:val="24"/>
          <w:szCs w:val="24"/>
        </w:rPr>
        <w:footnoteReference w:id="8"/>
      </w:r>
      <w:bookmarkEnd w:id="71"/>
    </w:p>
    <w:p w14:paraId="39C06230" w14:textId="77777777" w:rsidR="00A8307C" w:rsidRPr="00242DFB" w:rsidRDefault="00A8307C" w:rsidP="005B2285">
      <w:pPr>
        <w:shd w:val="clear" w:color="auto" w:fill="FFFFFF" w:themeFill="background1"/>
        <w:spacing w:line="360" w:lineRule="auto"/>
        <w:jc w:val="both"/>
        <w:rPr>
          <w:rFonts w:ascii="Arial" w:eastAsia="Aptos" w:hAnsi="Arial" w:cs="Arial"/>
          <w:color w:val="000000"/>
        </w:rPr>
      </w:pPr>
    </w:p>
    <w:p w14:paraId="3ADBB3A7" w14:textId="44FD0548" w:rsidR="009F762E" w:rsidRPr="00242DFB" w:rsidRDefault="00000000" w:rsidP="005B2285">
      <w:pPr>
        <w:shd w:val="clear" w:color="auto" w:fill="FFFFFF" w:themeFill="background1"/>
        <w:spacing w:line="360" w:lineRule="auto"/>
        <w:jc w:val="both"/>
        <w:rPr>
          <w:rFonts w:ascii="Arial" w:eastAsia="Aptos" w:hAnsi="Arial" w:cs="Arial"/>
          <w:color w:val="000000"/>
        </w:rPr>
      </w:pPr>
      <w:r w:rsidRPr="00242DFB">
        <w:rPr>
          <w:rFonts w:ascii="Arial" w:eastAsia="Aptos" w:hAnsi="Arial" w:cs="Arial"/>
          <w:color w:val="000000"/>
        </w:rPr>
        <w:t>La Secretaría Distrital de Salud señala que la meta esperada para las coberturas del esquema permanente del PAI corresponde al 95%; sin embargo, la EAPB Capital Salud registró incumplimientos en todos los biológicos trazadores evaluados.</w:t>
      </w:r>
    </w:p>
    <w:p w14:paraId="6A87D988" w14:textId="77777777" w:rsidR="00A8307C" w:rsidRPr="00242DFB" w:rsidRDefault="00A8307C" w:rsidP="005B2285">
      <w:pPr>
        <w:shd w:val="clear" w:color="auto" w:fill="FFFFFF" w:themeFill="background1"/>
        <w:spacing w:line="360" w:lineRule="auto"/>
        <w:jc w:val="both"/>
        <w:rPr>
          <w:rFonts w:ascii="Arial" w:hAnsi="Arial" w:cs="Arial"/>
          <w:color w:val="000000" w:themeColor="text1"/>
        </w:rPr>
      </w:pPr>
    </w:p>
    <w:p w14:paraId="46019D88" w14:textId="7388C8EA" w:rsidR="00A8307C" w:rsidRPr="00242DFB" w:rsidRDefault="00A8307C" w:rsidP="005B2285">
      <w:pPr>
        <w:pStyle w:val="Descripcin"/>
        <w:keepNext/>
        <w:spacing w:after="0"/>
        <w:jc w:val="center"/>
        <w:rPr>
          <w:rFonts w:ascii="Arial" w:hAnsi="Arial" w:cs="Arial"/>
          <w:color w:val="000000" w:themeColor="text1"/>
          <w:sz w:val="24"/>
          <w:szCs w:val="24"/>
        </w:rPr>
      </w:pPr>
      <w:bookmarkStart w:id="72" w:name="_Toc233574874"/>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14</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Coberturas de vacunación infantil trazadora, Capital Salud EPS-S, Bogotá D.C., 2025</w:t>
      </w:r>
      <w:bookmarkEnd w:id="72"/>
    </w:p>
    <w:tbl>
      <w:tblPr>
        <w:tblW w:w="8823" w:type="dxa"/>
        <w:tblLayout w:type="fixed"/>
        <w:tblCellMar>
          <w:top w:w="120" w:type="dxa"/>
          <w:left w:w="180" w:type="dxa"/>
          <w:bottom w:w="120" w:type="dxa"/>
          <w:right w:w="180" w:type="dxa"/>
        </w:tblCellMar>
        <w:tblLook w:val="06A0" w:firstRow="1" w:lastRow="0" w:firstColumn="1" w:lastColumn="0" w:noHBand="1" w:noVBand="1"/>
      </w:tblPr>
      <w:tblGrid>
        <w:gridCol w:w="7158"/>
        <w:gridCol w:w="1665"/>
      </w:tblGrid>
      <w:tr w:rsidR="009F762E" w:rsidRPr="00242DFB" w14:paraId="73519944" w14:textId="77777777" w:rsidTr="00A8307C">
        <w:trPr>
          <w:cantSplit/>
          <w:trHeight w:val="300"/>
        </w:trPr>
        <w:tc>
          <w:tcPr>
            <w:tcW w:w="7158" w:type="dxa"/>
            <w:tcBorders>
              <w:top w:val="single" w:sz="6" w:space="0" w:color="000000"/>
              <w:left w:val="single" w:sz="6" w:space="0" w:color="000000"/>
              <w:bottom w:val="single" w:sz="6" w:space="0" w:color="000000"/>
              <w:right w:val="single" w:sz="6" w:space="0" w:color="000000"/>
            </w:tcBorders>
            <w:vAlign w:val="center"/>
          </w:tcPr>
          <w:p w14:paraId="0F1F4883" w14:textId="77777777" w:rsidR="009F762E" w:rsidRPr="00242DFB" w:rsidRDefault="00000000" w:rsidP="005B2285">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b/>
                <w:bCs/>
                <w:color w:val="000000" w:themeColor="text1"/>
              </w:rPr>
              <w:t>Biológico</w:t>
            </w:r>
          </w:p>
        </w:tc>
        <w:tc>
          <w:tcPr>
            <w:tcW w:w="1665" w:type="dxa"/>
            <w:tcBorders>
              <w:top w:val="single" w:sz="6" w:space="0" w:color="000000"/>
              <w:left w:val="single" w:sz="6" w:space="0" w:color="000000"/>
              <w:bottom w:val="single" w:sz="6" w:space="0" w:color="000000"/>
              <w:right w:val="single" w:sz="6" w:space="0" w:color="000000"/>
            </w:tcBorders>
            <w:vAlign w:val="center"/>
          </w:tcPr>
          <w:p w14:paraId="3E2D84EF" w14:textId="77777777" w:rsidR="009F762E" w:rsidRPr="00242DFB" w:rsidRDefault="00000000" w:rsidP="005B2285">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b/>
                <w:bCs/>
                <w:color w:val="000000" w:themeColor="text1"/>
              </w:rPr>
              <w:t>Cobertura</w:t>
            </w:r>
          </w:p>
        </w:tc>
      </w:tr>
      <w:tr w:rsidR="009F762E" w:rsidRPr="00242DFB" w14:paraId="2B675610" w14:textId="77777777" w:rsidTr="00A8307C">
        <w:trPr>
          <w:cantSplit/>
          <w:trHeight w:val="300"/>
        </w:trPr>
        <w:tc>
          <w:tcPr>
            <w:tcW w:w="7158" w:type="dxa"/>
            <w:tcBorders>
              <w:top w:val="single" w:sz="6" w:space="0" w:color="000000"/>
              <w:left w:val="single" w:sz="6" w:space="0" w:color="000000"/>
              <w:bottom w:val="single" w:sz="6" w:space="0" w:color="000000"/>
              <w:right w:val="single" w:sz="6" w:space="0" w:color="000000"/>
            </w:tcBorders>
            <w:vAlign w:val="center"/>
          </w:tcPr>
          <w:p w14:paraId="1C71BABE" w14:textId="77777777" w:rsidR="009F762E" w:rsidRPr="00242DFB" w:rsidRDefault="00000000" w:rsidP="005B2285">
            <w:pPr>
              <w:shd w:val="clear" w:color="auto" w:fill="FFFFFF" w:themeFill="background1"/>
              <w:spacing w:line="360" w:lineRule="auto"/>
              <w:rPr>
                <w:rFonts w:ascii="Arial" w:hAnsi="Arial" w:cs="Arial"/>
                <w:color w:val="000000" w:themeColor="text1"/>
              </w:rPr>
            </w:pPr>
            <w:r w:rsidRPr="00242DFB">
              <w:rPr>
                <w:rFonts w:ascii="Arial" w:eastAsia="Aptos" w:hAnsi="Arial" w:cs="Arial"/>
                <w:color w:val="000000" w:themeColor="text1"/>
              </w:rPr>
              <w:t>Pentavalente tercera dosis (&lt;1 año)</w:t>
            </w:r>
          </w:p>
        </w:tc>
        <w:tc>
          <w:tcPr>
            <w:tcW w:w="1665" w:type="dxa"/>
            <w:tcBorders>
              <w:top w:val="single" w:sz="6" w:space="0" w:color="000000"/>
              <w:left w:val="single" w:sz="6" w:space="0" w:color="000000"/>
              <w:bottom w:val="single" w:sz="6" w:space="0" w:color="000000"/>
              <w:right w:val="single" w:sz="6" w:space="0" w:color="000000"/>
            </w:tcBorders>
            <w:vAlign w:val="center"/>
          </w:tcPr>
          <w:p w14:paraId="5215DA5F" w14:textId="77777777" w:rsidR="009F762E" w:rsidRPr="00242DFB" w:rsidRDefault="00000000" w:rsidP="005B2285">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color w:val="000000" w:themeColor="text1"/>
              </w:rPr>
              <w:t>89,5%</w:t>
            </w:r>
          </w:p>
        </w:tc>
      </w:tr>
      <w:tr w:rsidR="009F762E" w:rsidRPr="00242DFB" w14:paraId="15734A78" w14:textId="77777777" w:rsidTr="00A8307C">
        <w:trPr>
          <w:cantSplit/>
          <w:trHeight w:val="300"/>
        </w:trPr>
        <w:tc>
          <w:tcPr>
            <w:tcW w:w="7158" w:type="dxa"/>
            <w:tcBorders>
              <w:top w:val="single" w:sz="6" w:space="0" w:color="000000"/>
              <w:left w:val="single" w:sz="6" w:space="0" w:color="000000"/>
              <w:bottom w:val="single" w:sz="6" w:space="0" w:color="000000"/>
              <w:right w:val="single" w:sz="6" w:space="0" w:color="000000"/>
            </w:tcBorders>
            <w:vAlign w:val="center"/>
          </w:tcPr>
          <w:p w14:paraId="365D7EB4" w14:textId="77777777" w:rsidR="009F762E" w:rsidRPr="00242DFB" w:rsidRDefault="00000000" w:rsidP="005B2285">
            <w:pPr>
              <w:shd w:val="clear" w:color="auto" w:fill="FFFFFF" w:themeFill="background1"/>
              <w:spacing w:line="360" w:lineRule="auto"/>
              <w:rPr>
                <w:rFonts w:ascii="Arial" w:hAnsi="Arial" w:cs="Arial"/>
                <w:color w:val="000000" w:themeColor="text1"/>
              </w:rPr>
            </w:pPr>
            <w:r w:rsidRPr="00242DFB">
              <w:rPr>
                <w:rFonts w:ascii="Arial" w:eastAsia="Aptos" w:hAnsi="Arial" w:cs="Arial"/>
                <w:color w:val="000000" w:themeColor="text1"/>
              </w:rPr>
              <w:t>Triple viral primera dosis (1 año)</w:t>
            </w:r>
          </w:p>
        </w:tc>
        <w:tc>
          <w:tcPr>
            <w:tcW w:w="1665" w:type="dxa"/>
            <w:tcBorders>
              <w:top w:val="single" w:sz="6" w:space="0" w:color="000000"/>
              <w:left w:val="single" w:sz="6" w:space="0" w:color="000000"/>
              <w:bottom w:val="single" w:sz="6" w:space="0" w:color="000000"/>
              <w:right w:val="single" w:sz="6" w:space="0" w:color="000000"/>
            </w:tcBorders>
            <w:vAlign w:val="center"/>
          </w:tcPr>
          <w:p w14:paraId="3BD27F88" w14:textId="77777777" w:rsidR="009F762E" w:rsidRPr="00242DFB" w:rsidRDefault="00000000" w:rsidP="005B2285">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color w:val="000000" w:themeColor="text1"/>
              </w:rPr>
              <w:t>81,8%</w:t>
            </w:r>
          </w:p>
        </w:tc>
      </w:tr>
      <w:tr w:rsidR="009F762E" w:rsidRPr="00242DFB" w14:paraId="1E49954E" w14:textId="77777777" w:rsidTr="00A8307C">
        <w:trPr>
          <w:cantSplit/>
          <w:trHeight w:val="300"/>
        </w:trPr>
        <w:tc>
          <w:tcPr>
            <w:tcW w:w="7158" w:type="dxa"/>
            <w:tcBorders>
              <w:top w:val="single" w:sz="6" w:space="0" w:color="000000"/>
              <w:left w:val="single" w:sz="6" w:space="0" w:color="000000"/>
              <w:bottom w:val="single" w:sz="6" w:space="0" w:color="000000"/>
              <w:right w:val="single" w:sz="6" w:space="0" w:color="000000"/>
            </w:tcBorders>
            <w:vAlign w:val="center"/>
          </w:tcPr>
          <w:p w14:paraId="02FC8AB4" w14:textId="77777777" w:rsidR="009F762E" w:rsidRPr="00242DFB" w:rsidRDefault="00000000" w:rsidP="005B2285">
            <w:pPr>
              <w:shd w:val="clear" w:color="auto" w:fill="FFFFFF" w:themeFill="background1"/>
              <w:spacing w:line="360" w:lineRule="auto"/>
              <w:rPr>
                <w:rFonts w:ascii="Arial" w:hAnsi="Arial" w:cs="Arial"/>
                <w:color w:val="000000" w:themeColor="text1"/>
              </w:rPr>
            </w:pPr>
            <w:r w:rsidRPr="00242DFB">
              <w:rPr>
                <w:rFonts w:ascii="Arial" w:eastAsia="Aptos" w:hAnsi="Arial" w:cs="Arial"/>
                <w:color w:val="000000" w:themeColor="text1"/>
              </w:rPr>
              <w:t>Refuerzo triple viral (18 meses)</w:t>
            </w:r>
          </w:p>
        </w:tc>
        <w:tc>
          <w:tcPr>
            <w:tcW w:w="1665" w:type="dxa"/>
            <w:tcBorders>
              <w:top w:val="single" w:sz="6" w:space="0" w:color="000000"/>
              <w:left w:val="single" w:sz="6" w:space="0" w:color="000000"/>
              <w:bottom w:val="single" w:sz="6" w:space="0" w:color="000000"/>
              <w:right w:val="single" w:sz="6" w:space="0" w:color="000000"/>
            </w:tcBorders>
            <w:vAlign w:val="center"/>
          </w:tcPr>
          <w:p w14:paraId="2D61DC34" w14:textId="77777777" w:rsidR="009F762E" w:rsidRPr="00242DFB" w:rsidRDefault="00000000" w:rsidP="005B2285">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color w:val="000000" w:themeColor="text1"/>
              </w:rPr>
              <w:t>73,0%</w:t>
            </w:r>
          </w:p>
        </w:tc>
      </w:tr>
      <w:tr w:rsidR="009F762E" w:rsidRPr="00242DFB" w14:paraId="7C70400D" w14:textId="77777777" w:rsidTr="00A8307C">
        <w:trPr>
          <w:cantSplit/>
          <w:trHeight w:val="300"/>
        </w:trPr>
        <w:tc>
          <w:tcPr>
            <w:tcW w:w="7158" w:type="dxa"/>
            <w:tcBorders>
              <w:top w:val="single" w:sz="6" w:space="0" w:color="000000"/>
              <w:left w:val="single" w:sz="6" w:space="0" w:color="000000"/>
              <w:bottom w:val="single" w:sz="6" w:space="0" w:color="000000"/>
              <w:right w:val="single" w:sz="6" w:space="0" w:color="000000"/>
            </w:tcBorders>
            <w:vAlign w:val="center"/>
          </w:tcPr>
          <w:p w14:paraId="07F196B9" w14:textId="77777777" w:rsidR="009F762E" w:rsidRPr="00242DFB" w:rsidRDefault="00000000" w:rsidP="005B2285">
            <w:pPr>
              <w:shd w:val="clear" w:color="auto" w:fill="FFFFFF" w:themeFill="background1"/>
              <w:spacing w:line="360" w:lineRule="auto"/>
              <w:rPr>
                <w:rFonts w:ascii="Arial" w:hAnsi="Arial" w:cs="Arial"/>
                <w:color w:val="000000" w:themeColor="text1"/>
              </w:rPr>
            </w:pPr>
            <w:r w:rsidRPr="00242DFB">
              <w:rPr>
                <w:rFonts w:ascii="Arial" w:eastAsia="Aptos" w:hAnsi="Arial" w:cs="Arial"/>
                <w:color w:val="000000" w:themeColor="text1"/>
              </w:rPr>
              <w:t>Fiebre amarilla (18 meses)</w:t>
            </w:r>
          </w:p>
        </w:tc>
        <w:tc>
          <w:tcPr>
            <w:tcW w:w="1665" w:type="dxa"/>
            <w:tcBorders>
              <w:top w:val="single" w:sz="6" w:space="0" w:color="000000"/>
              <w:left w:val="single" w:sz="6" w:space="0" w:color="000000"/>
              <w:bottom w:val="single" w:sz="6" w:space="0" w:color="000000"/>
              <w:right w:val="single" w:sz="6" w:space="0" w:color="000000"/>
            </w:tcBorders>
            <w:vAlign w:val="center"/>
          </w:tcPr>
          <w:p w14:paraId="5A2FF253" w14:textId="77777777" w:rsidR="009F762E" w:rsidRPr="00242DFB" w:rsidRDefault="00000000" w:rsidP="005B2285">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color w:val="000000" w:themeColor="text1"/>
              </w:rPr>
              <w:t>90,0%</w:t>
            </w:r>
          </w:p>
        </w:tc>
      </w:tr>
      <w:tr w:rsidR="009F762E" w:rsidRPr="00242DFB" w14:paraId="42580027" w14:textId="77777777" w:rsidTr="00A8307C">
        <w:trPr>
          <w:cantSplit/>
          <w:trHeight w:val="300"/>
        </w:trPr>
        <w:tc>
          <w:tcPr>
            <w:tcW w:w="7158" w:type="dxa"/>
            <w:tcBorders>
              <w:top w:val="single" w:sz="6" w:space="0" w:color="000000"/>
              <w:left w:val="single" w:sz="6" w:space="0" w:color="000000"/>
              <w:bottom w:val="single" w:sz="6" w:space="0" w:color="000000"/>
              <w:right w:val="single" w:sz="6" w:space="0" w:color="000000"/>
            </w:tcBorders>
            <w:vAlign w:val="center"/>
          </w:tcPr>
          <w:p w14:paraId="7956341F" w14:textId="77777777" w:rsidR="009F762E" w:rsidRPr="00242DFB" w:rsidRDefault="00000000" w:rsidP="005B2285">
            <w:pPr>
              <w:shd w:val="clear" w:color="auto" w:fill="FFFFFF" w:themeFill="background1"/>
              <w:spacing w:line="360" w:lineRule="auto"/>
              <w:rPr>
                <w:rFonts w:ascii="Arial" w:hAnsi="Arial" w:cs="Arial"/>
                <w:color w:val="000000" w:themeColor="text1"/>
              </w:rPr>
            </w:pPr>
            <w:r w:rsidRPr="00242DFB">
              <w:rPr>
                <w:rFonts w:ascii="Arial" w:eastAsia="Aptos" w:hAnsi="Arial" w:cs="Arial"/>
                <w:color w:val="000000" w:themeColor="text1"/>
              </w:rPr>
              <w:t>Refuerzo DPT (5 años)</w:t>
            </w:r>
          </w:p>
        </w:tc>
        <w:tc>
          <w:tcPr>
            <w:tcW w:w="1665" w:type="dxa"/>
            <w:tcBorders>
              <w:top w:val="single" w:sz="6" w:space="0" w:color="000000"/>
              <w:left w:val="single" w:sz="6" w:space="0" w:color="000000"/>
              <w:bottom w:val="single" w:sz="6" w:space="0" w:color="000000"/>
              <w:right w:val="single" w:sz="6" w:space="0" w:color="000000"/>
            </w:tcBorders>
            <w:vAlign w:val="center"/>
          </w:tcPr>
          <w:p w14:paraId="7B1A7DC6" w14:textId="77777777" w:rsidR="009F762E" w:rsidRPr="00242DFB" w:rsidRDefault="00000000" w:rsidP="005B2285">
            <w:pPr>
              <w:shd w:val="clear" w:color="auto" w:fill="FFFFFF" w:themeFill="background1"/>
              <w:spacing w:line="360" w:lineRule="auto"/>
              <w:jc w:val="center"/>
              <w:rPr>
                <w:rFonts w:ascii="Arial" w:hAnsi="Arial" w:cs="Arial"/>
                <w:color w:val="000000" w:themeColor="text1"/>
              </w:rPr>
            </w:pPr>
            <w:r w:rsidRPr="00242DFB">
              <w:rPr>
                <w:rFonts w:ascii="Arial" w:eastAsia="Aptos" w:hAnsi="Arial" w:cs="Arial"/>
                <w:color w:val="000000" w:themeColor="text1"/>
              </w:rPr>
              <w:t>52,3%</w:t>
            </w:r>
          </w:p>
        </w:tc>
      </w:tr>
    </w:tbl>
    <w:p w14:paraId="450AAF4F" w14:textId="7BE3F7A6" w:rsidR="009F762E" w:rsidRPr="00242DFB" w:rsidRDefault="000F41E0" w:rsidP="005B2285">
      <w:pPr>
        <w:shd w:val="clear" w:color="auto" w:fill="FFFFFF" w:themeFill="background1"/>
        <w:spacing w:line="360" w:lineRule="auto"/>
        <w:jc w:val="both"/>
        <w:rPr>
          <w:rFonts w:ascii="Arial" w:eastAsia="Aptos" w:hAnsi="Arial" w:cs="Arial"/>
          <w:color w:val="000000" w:themeColor="text1"/>
          <w:sz w:val="16"/>
          <w:szCs w:val="16"/>
        </w:rPr>
      </w:pPr>
      <w:r w:rsidRPr="00242DFB">
        <w:rPr>
          <w:rFonts w:ascii="Arial" w:eastAsia="Aptos" w:hAnsi="Arial" w:cs="Arial"/>
          <w:color w:val="000000" w:themeColor="text1"/>
          <w:sz w:val="16"/>
          <w:szCs w:val="16"/>
        </w:rPr>
        <w:t>Fuente: BDUA de Subsecretaría de Aseguramiento, corte a 31 de diciembre de 2025; Tablero de control de vacunación trazadores de 0 a 5 años; Aplicativo PAI 2.5 SDS; Sistema de Información PAI; Secretaría Distrital de Salud, Bogotá, enero-diciembre de 2025.</w:t>
      </w:r>
    </w:p>
    <w:p w14:paraId="71BFEFE3" w14:textId="77777777" w:rsidR="000F41E0" w:rsidRPr="00242DFB" w:rsidRDefault="000F41E0" w:rsidP="005B2285">
      <w:pPr>
        <w:shd w:val="clear" w:color="auto" w:fill="FFFFFF" w:themeFill="background1"/>
        <w:spacing w:line="360" w:lineRule="auto"/>
        <w:jc w:val="both"/>
        <w:rPr>
          <w:rFonts w:ascii="Arial" w:eastAsia="Aptos" w:hAnsi="Arial" w:cs="Arial"/>
          <w:color w:val="000000" w:themeColor="text1"/>
        </w:rPr>
      </w:pPr>
    </w:p>
    <w:p w14:paraId="45F44D0E" w14:textId="77777777" w:rsidR="009F762E" w:rsidRPr="00242DFB" w:rsidRDefault="00000000" w:rsidP="005B2285">
      <w:pPr>
        <w:shd w:val="clear" w:color="auto" w:fill="FFFFFF" w:themeFill="background1"/>
        <w:spacing w:line="360" w:lineRule="auto"/>
        <w:jc w:val="both"/>
        <w:rPr>
          <w:rFonts w:ascii="Arial" w:eastAsia="Aptos" w:hAnsi="Arial" w:cs="Arial"/>
          <w:color w:val="000000"/>
        </w:rPr>
      </w:pPr>
      <w:r w:rsidRPr="00242DFB">
        <w:rPr>
          <w:rFonts w:ascii="Arial" w:eastAsia="Aptos" w:hAnsi="Arial" w:cs="Arial"/>
          <w:color w:val="000000"/>
        </w:rPr>
        <w:lastRenderedPageBreak/>
        <w:t>Se identifican brechas significativas en la captación y vacunación de la población susceptible, siendo particularmente crítica la cobertura del segundo refuerzo de DPT en niños de cinco años.</w:t>
      </w:r>
    </w:p>
    <w:p w14:paraId="2932EB5F" w14:textId="77777777" w:rsidR="0050558F" w:rsidRPr="00242DFB" w:rsidRDefault="0050558F" w:rsidP="005B2285">
      <w:pPr>
        <w:shd w:val="clear" w:color="auto" w:fill="FFFFFF" w:themeFill="background1"/>
        <w:spacing w:line="360" w:lineRule="auto"/>
        <w:jc w:val="both"/>
        <w:rPr>
          <w:rFonts w:ascii="Arial" w:hAnsi="Arial" w:cs="Arial"/>
          <w:color w:val="000000" w:themeColor="text1"/>
        </w:rPr>
      </w:pPr>
    </w:p>
    <w:p w14:paraId="61F4C051" w14:textId="7D601AA0" w:rsidR="00F27FAD" w:rsidRPr="00242DFB" w:rsidRDefault="000236A3" w:rsidP="005B2285">
      <w:pPr>
        <w:pStyle w:val="Ttulo3"/>
        <w:numPr>
          <w:ilvl w:val="2"/>
          <w:numId w:val="12"/>
        </w:numPr>
        <w:spacing w:before="0" w:line="360" w:lineRule="auto"/>
        <w:jc w:val="both"/>
        <w:rPr>
          <w:rFonts w:ascii="Arial" w:hAnsi="Arial" w:cs="Arial"/>
          <w:b/>
          <w:bCs/>
          <w:color w:val="000000" w:themeColor="text1"/>
        </w:rPr>
      </w:pPr>
      <w:bookmarkStart w:id="73" w:name="_Toc233574838"/>
      <w:r>
        <w:rPr>
          <w:rFonts w:ascii="Arial" w:hAnsi="Arial" w:cs="Arial"/>
          <w:b/>
          <w:bCs/>
          <w:color w:val="000000" w:themeColor="text1"/>
        </w:rPr>
        <w:t>Refuerzo t</w:t>
      </w:r>
      <w:r w:rsidR="00F27FAD" w:rsidRPr="00242DFB">
        <w:rPr>
          <w:rFonts w:ascii="Arial" w:hAnsi="Arial" w:cs="Arial"/>
          <w:b/>
          <w:bCs/>
          <w:color w:val="000000" w:themeColor="text1"/>
        </w:rPr>
        <w:t>riple viral</w:t>
      </w:r>
      <w:r>
        <w:rPr>
          <w:rFonts w:ascii="Arial" w:hAnsi="Arial" w:cs="Arial"/>
          <w:b/>
          <w:bCs/>
          <w:color w:val="000000" w:themeColor="text1"/>
        </w:rPr>
        <w:t xml:space="preserve"> (18 meses)</w:t>
      </w:r>
      <w:bookmarkEnd w:id="73"/>
    </w:p>
    <w:p w14:paraId="57AD4D51" w14:textId="77777777" w:rsidR="00F27FAD" w:rsidRPr="00242DFB" w:rsidRDefault="00F27FAD" w:rsidP="005B2285">
      <w:pPr>
        <w:spacing w:line="360" w:lineRule="auto"/>
        <w:jc w:val="both"/>
        <w:rPr>
          <w:rFonts w:ascii="Arial" w:hAnsi="Arial" w:cs="Arial"/>
        </w:rPr>
      </w:pPr>
    </w:p>
    <w:p w14:paraId="17E5600B" w14:textId="77777777" w:rsidR="00F27FAD" w:rsidRPr="00F27FAD" w:rsidRDefault="00F27FAD" w:rsidP="005B2285">
      <w:pPr>
        <w:spacing w:line="360" w:lineRule="auto"/>
        <w:jc w:val="both"/>
        <w:rPr>
          <w:rFonts w:ascii="Arial" w:hAnsi="Arial" w:cs="Arial"/>
        </w:rPr>
      </w:pPr>
      <w:r w:rsidRPr="00F27FAD">
        <w:rPr>
          <w:rFonts w:ascii="Arial" w:hAnsi="Arial" w:cs="Arial"/>
        </w:rPr>
        <w:t xml:space="preserve">El resultado del </w:t>
      </w:r>
      <w:r w:rsidRPr="00F27FAD">
        <w:rPr>
          <w:rFonts w:ascii="Arial" w:hAnsi="Arial" w:cs="Arial"/>
          <w:b/>
          <w:bCs/>
        </w:rPr>
        <w:t>refuerzo de triple viral a los 18 meses</w:t>
      </w:r>
      <w:r w:rsidRPr="00F27FAD">
        <w:rPr>
          <w:rFonts w:ascii="Arial" w:hAnsi="Arial" w:cs="Arial"/>
        </w:rPr>
        <w:t xml:space="preserve"> en la población afiliada a </w:t>
      </w:r>
      <w:r w:rsidRPr="00F27FAD">
        <w:rPr>
          <w:rFonts w:ascii="Arial" w:hAnsi="Arial" w:cs="Arial"/>
          <w:b/>
          <w:bCs/>
        </w:rPr>
        <w:t>Capital Salud EPS-S</w:t>
      </w:r>
      <w:r w:rsidRPr="00F27FAD">
        <w:rPr>
          <w:rFonts w:ascii="Arial" w:hAnsi="Arial" w:cs="Arial"/>
        </w:rPr>
        <w:t xml:space="preserve"> evidencia una cobertura de </w:t>
      </w:r>
      <w:r w:rsidRPr="00F27FAD">
        <w:rPr>
          <w:rFonts w:ascii="Arial" w:hAnsi="Arial" w:cs="Arial"/>
          <w:b/>
          <w:bCs/>
        </w:rPr>
        <w:t>73,0%</w:t>
      </w:r>
      <w:r w:rsidRPr="00F27FAD">
        <w:rPr>
          <w:rFonts w:ascii="Arial" w:hAnsi="Arial" w:cs="Arial"/>
        </w:rPr>
        <w:t xml:space="preserve">, valor inferior a la meta mínima esperada del </w:t>
      </w:r>
      <w:r w:rsidRPr="00F27FAD">
        <w:rPr>
          <w:rFonts w:ascii="Arial" w:hAnsi="Arial" w:cs="Arial"/>
          <w:b/>
          <w:bCs/>
        </w:rPr>
        <w:t>95%</w:t>
      </w:r>
      <w:r w:rsidRPr="00F27FAD">
        <w:rPr>
          <w:rFonts w:ascii="Arial" w:hAnsi="Arial" w:cs="Arial"/>
        </w:rPr>
        <w:t xml:space="preserve"> para el Programa Ampliado de Inmunizaciones —PAI—. Este comportamiento configura un incumplimiento programático y refleja una brecha relevante en el cierre oportuno de esquemas de vacunación en la primera infancia.</w:t>
      </w:r>
    </w:p>
    <w:p w14:paraId="55A2399F" w14:textId="77777777" w:rsidR="00F27FAD" w:rsidRPr="00242DFB" w:rsidRDefault="00F27FAD" w:rsidP="005B2285">
      <w:pPr>
        <w:spacing w:line="360" w:lineRule="auto"/>
        <w:jc w:val="both"/>
        <w:rPr>
          <w:rFonts w:ascii="Arial" w:hAnsi="Arial" w:cs="Arial"/>
        </w:rPr>
      </w:pPr>
      <w:r w:rsidRPr="00F27FAD">
        <w:rPr>
          <w:rFonts w:ascii="Arial" w:hAnsi="Arial" w:cs="Arial"/>
        </w:rPr>
        <w:t xml:space="preserve">La triple viral protege contra </w:t>
      </w:r>
      <w:r w:rsidRPr="00F27FAD">
        <w:rPr>
          <w:rFonts w:ascii="Arial" w:hAnsi="Arial" w:cs="Arial"/>
          <w:b/>
          <w:bCs/>
        </w:rPr>
        <w:t>sarampión, rubéola y paperas</w:t>
      </w:r>
      <w:r w:rsidRPr="00F27FAD">
        <w:rPr>
          <w:rFonts w:ascii="Arial" w:hAnsi="Arial" w:cs="Arial"/>
        </w:rPr>
        <w:t>, enfermedades inmunoprevenibles que requieren coberturas altas y sostenidas para reducir el riesgo de transmisión y acumulación de población susceptible. Si bien una cobertura del 73,0% muestra que existe avance en la aplicación del refuerzo, el resultado indica que aproximadamente una cuarta parte de la población objetivo no cuenta con el refuerzo esperado a los 18 meses, lo que limita la protección individual y colectiva.</w:t>
      </w:r>
    </w:p>
    <w:p w14:paraId="17804AE6" w14:textId="77777777" w:rsidR="00F27FAD" w:rsidRPr="00F27FAD" w:rsidRDefault="00F27FAD" w:rsidP="005B2285">
      <w:pPr>
        <w:spacing w:line="360" w:lineRule="auto"/>
        <w:jc w:val="both"/>
        <w:rPr>
          <w:rFonts w:ascii="Arial" w:hAnsi="Arial" w:cs="Arial"/>
        </w:rPr>
      </w:pPr>
    </w:p>
    <w:p w14:paraId="4B89685F" w14:textId="77777777" w:rsidR="00F27FAD" w:rsidRPr="00242DFB" w:rsidRDefault="00F27FAD" w:rsidP="005B2285">
      <w:pPr>
        <w:spacing w:line="360" w:lineRule="auto"/>
        <w:jc w:val="both"/>
        <w:rPr>
          <w:rFonts w:ascii="Arial" w:hAnsi="Arial" w:cs="Arial"/>
        </w:rPr>
      </w:pPr>
      <w:r w:rsidRPr="00F27FAD">
        <w:rPr>
          <w:rFonts w:ascii="Arial" w:hAnsi="Arial" w:cs="Arial"/>
        </w:rPr>
        <w:t>Desde la perspectiva de gestión del riesgo, este hallazgo sugiere debilidades en el seguimiento nominal de niños y niñas que ya iniciaron su esquema de vacunación, pero que no completaron oportunamente el refuerzo. Esto puede estar relacionado con fallas en la demanda inducida, recordatorio a cuidadores, búsqueda activa de inasistentes, articulación con IPS vacunadoras, actualización de bases nominales o barreras de acceso a los puntos de vacunación.</w:t>
      </w:r>
    </w:p>
    <w:p w14:paraId="5C2B1ADC" w14:textId="77777777" w:rsidR="00F27FAD" w:rsidRPr="00F27FAD" w:rsidRDefault="00F27FAD" w:rsidP="005B2285">
      <w:pPr>
        <w:spacing w:line="360" w:lineRule="auto"/>
        <w:jc w:val="both"/>
        <w:rPr>
          <w:rFonts w:ascii="Arial" w:hAnsi="Arial" w:cs="Arial"/>
        </w:rPr>
      </w:pPr>
    </w:p>
    <w:p w14:paraId="7175D5A8" w14:textId="77777777" w:rsidR="00F27FAD" w:rsidRPr="00F27FAD" w:rsidRDefault="00F27FAD" w:rsidP="005B2285">
      <w:pPr>
        <w:spacing w:line="360" w:lineRule="auto"/>
        <w:jc w:val="both"/>
        <w:rPr>
          <w:rFonts w:ascii="Arial" w:hAnsi="Arial" w:cs="Arial"/>
        </w:rPr>
      </w:pPr>
      <w:r w:rsidRPr="00F27FAD">
        <w:rPr>
          <w:rFonts w:ascii="Arial" w:hAnsi="Arial" w:cs="Arial"/>
        </w:rPr>
        <w:t xml:space="preserve">En consecuencia, Capital Salud EPS-S debe fortalecer las acciones de identificación de menores pendientes, seguimiento individualizado de esquemas incompletos, contacto efectivo con padres y cuidadores, jornadas extramurales e institucionales, y monitoreo periódico por localidad, IPS asignada y estado de vacunación. El cierre de esta brecha debe priorizarse dentro del plan de </w:t>
      </w:r>
      <w:r w:rsidRPr="00F27FAD">
        <w:rPr>
          <w:rFonts w:ascii="Arial" w:hAnsi="Arial" w:cs="Arial"/>
        </w:rPr>
        <w:lastRenderedPageBreak/>
        <w:t>mejoramiento de la EPS, dado que el refuerzo de triple viral a los 18 meses es una intervención clave para mantener la protección en primera infancia y prevenir la aparición de brotes de enfermedades inmunoprevenibles.</w:t>
      </w:r>
    </w:p>
    <w:p w14:paraId="3CF26A28" w14:textId="77777777" w:rsidR="00F27FAD" w:rsidRPr="00242DFB" w:rsidRDefault="00F27FAD" w:rsidP="005B2285">
      <w:pPr>
        <w:spacing w:line="360" w:lineRule="auto"/>
        <w:rPr>
          <w:rFonts w:ascii="Arial" w:hAnsi="Arial" w:cs="Arial"/>
        </w:rPr>
      </w:pPr>
    </w:p>
    <w:p w14:paraId="483CE661" w14:textId="6A9DD153" w:rsidR="009F762E" w:rsidRPr="00242DFB" w:rsidRDefault="00000000" w:rsidP="005B2285">
      <w:pPr>
        <w:pStyle w:val="Ttulo3"/>
        <w:numPr>
          <w:ilvl w:val="2"/>
          <w:numId w:val="12"/>
        </w:numPr>
        <w:spacing w:before="0" w:line="360" w:lineRule="auto"/>
        <w:jc w:val="both"/>
        <w:rPr>
          <w:rFonts w:ascii="Arial" w:hAnsi="Arial" w:cs="Arial"/>
          <w:b/>
          <w:bCs/>
        </w:rPr>
      </w:pPr>
      <w:bookmarkStart w:id="74" w:name="_Toc233574839"/>
      <w:r w:rsidRPr="00242DFB">
        <w:rPr>
          <w:rFonts w:ascii="Arial" w:hAnsi="Arial" w:cs="Arial"/>
          <w:b/>
          <w:bCs/>
          <w:color w:val="000000" w:themeColor="text1"/>
        </w:rPr>
        <w:t>Vacunación contra Virus del Papiloma Humano (VPH)</w:t>
      </w:r>
      <w:bookmarkEnd w:id="74"/>
    </w:p>
    <w:p w14:paraId="48FA87F5" w14:textId="77777777" w:rsidR="00E84FA7" w:rsidRPr="00242DFB" w:rsidRDefault="00E84FA7" w:rsidP="005B2285">
      <w:pPr>
        <w:spacing w:line="360" w:lineRule="auto"/>
        <w:jc w:val="both"/>
        <w:rPr>
          <w:rFonts w:ascii="Arial" w:eastAsia="Aptos" w:hAnsi="Arial" w:cs="Arial"/>
        </w:rPr>
      </w:pPr>
    </w:p>
    <w:p w14:paraId="451F83BC" w14:textId="77777777" w:rsidR="00E84FA7" w:rsidRPr="00242DFB" w:rsidRDefault="00E84FA7" w:rsidP="005B2285">
      <w:pPr>
        <w:spacing w:line="360" w:lineRule="auto"/>
        <w:jc w:val="both"/>
        <w:rPr>
          <w:rFonts w:ascii="Arial" w:eastAsiaTheme="majorEastAsia" w:hAnsi="Arial" w:cs="Arial"/>
          <w:color w:val="000000" w:themeColor="text1"/>
        </w:rPr>
      </w:pPr>
      <w:r w:rsidRPr="00242DFB">
        <w:rPr>
          <w:rFonts w:ascii="Arial" w:eastAsiaTheme="majorEastAsia" w:hAnsi="Arial" w:cs="Arial"/>
          <w:color w:val="000000" w:themeColor="text1"/>
        </w:rPr>
        <w:t>Los resultados de vacunación contra el Virus del Papiloma Humano —VPH— en la población afiliada a Capital Salud EPS-S evidencian bajos niveles de cobertura en la cohorte de 9 años, tanto en niñas como en niños. Para el caso de las niñas, se reporta una cobertura de 40,9%, correspondiente a 2.769 vacunadas frente a una meta de 6.774. En los niños, la cobertura fue de 39,4%, con 2.566 vacunados frente a una meta de 6.513.</w:t>
      </w:r>
    </w:p>
    <w:p w14:paraId="46187741" w14:textId="77777777" w:rsidR="00E84FA7" w:rsidRPr="00242DFB" w:rsidRDefault="00E84FA7" w:rsidP="005B2285">
      <w:pPr>
        <w:spacing w:line="360" w:lineRule="auto"/>
        <w:jc w:val="both"/>
        <w:rPr>
          <w:rFonts w:ascii="Arial" w:eastAsiaTheme="majorEastAsia" w:hAnsi="Arial" w:cs="Arial"/>
          <w:color w:val="000000" w:themeColor="text1"/>
        </w:rPr>
      </w:pPr>
    </w:p>
    <w:p w14:paraId="650DA8AC" w14:textId="77777777" w:rsidR="00E84FA7" w:rsidRPr="00242DFB" w:rsidRDefault="00E84FA7" w:rsidP="005B2285">
      <w:pPr>
        <w:spacing w:line="360" w:lineRule="auto"/>
        <w:jc w:val="both"/>
        <w:rPr>
          <w:rFonts w:ascii="Arial" w:eastAsiaTheme="majorEastAsia" w:hAnsi="Arial" w:cs="Arial"/>
          <w:color w:val="000000" w:themeColor="text1"/>
        </w:rPr>
      </w:pPr>
      <w:r w:rsidRPr="00242DFB">
        <w:rPr>
          <w:rFonts w:ascii="Arial" w:eastAsiaTheme="majorEastAsia" w:hAnsi="Arial" w:cs="Arial"/>
          <w:color w:val="000000" w:themeColor="text1"/>
        </w:rPr>
        <w:t>En conjunto, la cohorte evaluada registra 5.335 niños y niñas vacunados de una meta total de 13.287, lo que representa una cobertura global aproximada de 40,2%. Esto significa que cerca de 7.952 menores de la población objetivo aún no registran vacunación contra VPH, situación que configura una brecha relevante frente al cumplimiento programático y frente a las metas de protección poblacional esperadas.</w:t>
      </w:r>
    </w:p>
    <w:p w14:paraId="2D2410F4" w14:textId="77777777" w:rsidR="00E84FA7" w:rsidRPr="00242DFB" w:rsidRDefault="00E84FA7" w:rsidP="005B2285">
      <w:pPr>
        <w:spacing w:line="360" w:lineRule="auto"/>
        <w:jc w:val="both"/>
        <w:rPr>
          <w:rFonts w:ascii="Arial" w:eastAsiaTheme="majorEastAsia" w:hAnsi="Arial" w:cs="Arial"/>
          <w:color w:val="000000" w:themeColor="text1"/>
        </w:rPr>
      </w:pPr>
    </w:p>
    <w:p w14:paraId="580CC578" w14:textId="77777777" w:rsidR="00E84FA7" w:rsidRPr="00242DFB" w:rsidRDefault="00E84FA7" w:rsidP="005B2285">
      <w:pPr>
        <w:spacing w:line="360" w:lineRule="auto"/>
        <w:jc w:val="both"/>
        <w:rPr>
          <w:rFonts w:ascii="Arial" w:eastAsiaTheme="majorEastAsia" w:hAnsi="Arial" w:cs="Arial"/>
          <w:color w:val="000000" w:themeColor="text1"/>
        </w:rPr>
      </w:pPr>
      <w:r w:rsidRPr="00242DFB">
        <w:rPr>
          <w:rFonts w:ascii="Arial" w:eastAsiaTheme="majorEastAsia" w:hAnsi="Arial" w:cs="Arial"/>
          <w:color w:val="000000" w:themeColor="text1"/>
        </w:rPr>
        <w:t>Este comportamiento constituye una alerta en salud pública, dado que la vacunación contra VPH es una intervención preventiva clave para reducir el riesgo futuro de enfermedades asociadas a este virus, especialmente cáncer de cuello uterino y otras patologías relacionadas. La baja cobertura observada sugiere posibles debilidades en la identificación nominal de la cohorte, demanda inducida, búsqueda activa, articulación con instituciones educativas, comunicación del riesgo a padres y cuidadores, disponibilidad de puntos de vacunación y seguimiento efectivo a menores pendientes.</w:t>
      </w:r>
    </w:p>
    <w:p w14:paraId="524899DB" w14:textId="77777777" w:rsidR="00E84FA7" w:rsidRPr="00242DFB" w:rsidRDefault="00E84FA7" w:rsidP="005B2285">
      <w:pPr>
        <w:spacing w:line="360" w:lineRule="auto"/>
        <w:jc w:val="both"/>
        <w:rPr>
          <w:rFonts w:ascii="Arial" w:eastAsiaTheme="majorEastAsia" w:hAnsi="Arial" w:cs="Arial"/>
          <w:color w:val="000000" w:themeColor="text1"/>
        </w:rPr>
      </w:pPr>
    </w:p>
    <w:p w14:paraId="7D007783" w14:textId="77777777" w:rsidR="00E84FA7" w:rsidRPr="00242DFB" w:rsidRDefault="00E84FA7" w:rsidP="005B2285">
      <w:pPr>
        <w:spacing w:line="360" w:lineRule="auto"/>
        <w:jc w:val="both"/>
        <w:rPr>
          <w:rFonts w:ascii="Arial" w:eastAsiaTheme="majorEastAsia" w:hAnsi="Arial" w:cs="Arial"/>
          <w:color w:val="000000" w:themeColor="text1"/>
        </w:rPr>
      </w:pPr>
      <w:r w:rsidRPr="00242DFB">
        <w:rPr>
          <w:rFonts w:ascii="Arial" w:eastAsiaTheme="majorEastAsia" w:hAnsi="Arial" w:cs="Arial"/>
          <w:color w:val="000000" w:themeColor="text1"/>
        </w:rPr>
        <w:t xml:space="preserve">Desde la perspectiva de gestión del riesgo en salud, el resultado no debe interpretarse únicamente como un incumplimiento de cobertura, sino como una </w:t>
      </w:r>
      <w:r w:rsidRPr="00242DFB">
        <w:rPr>
          <w:rFonts w:ascii="Arial" w:eastAsiaTheme="majorEastAsia" w:hAnsi="Arial" w:cs="Arial"/>
          <w:color w:val="000000" w:themeColor="text1"/>
        </w:rPr>
        <w:lastRenderedPageBreak/>
        <w:t>oportunidad perdida de prevención primaria en una población priorizada. La baja captación en niñas y niños de 9 años puede generar acumulación de susceptibles y limitar el impacto esperado de las estrategias de inmunización en el mediano y largo plazo.</w:t>
      </w:r>
    </w:p>
    <w:p w14:paraId="1E4C4C3F" w14:textId="77777777" w:rsidR="00E84FA7" w:rsidRPr="00242DFB" w:rsidRDefault="00E84FA7" w:rsidP="005B2285">
      <w:pPr>
        <w:spacing w:line="360" w:lineRule="auto"/>
        <w:jc w:val="both"/>
        <w:rPr>
          <w:rFonts w:ascii="Arial" w:eastAsiaTheme="majorEastAsia" w:hAnsi="Arial" w:cs="Arial"/>
          <w:color w:val="000000" w:themeColor="text1"/>
        </w:rPr>
      </w:pPr>
    </w:p>
    <w:p w14:paraId="15F5E483" w14:textId="77777777" w:rsidR="00E84FA7" w:rsidRPr="00242DFB" w:rsidRDefault="00E84FA7" w:rsidP="005B2285">
      <w:pPr>
        <w:spacing w:line="360" w:lineRule="auto"/>
        <w:jc w:val="both"/>
        <w:rPr>
          <w:rFonts w:ascii="Arial" w:eastAsiaTheme="majorEastAsia" w:hAnsi="Arial" w:cs="Arial"/>
          <w:color w:val="000000" w:themeColor="text1"/>
        </w:rPr>
      </w:pPr>
      <w:r w:rsidRPr="00242DFB">
        <w:rPr>
          <w:rFonts w:ascii="Arial" w:eastAsiaTheme="majorEastAsia" w:hAnsi="Arial" w:cs="Arial"/>
          <w:color w:val="000000" w:themeColor="text1"/>
        </w:rPr>
        <w:t>En este contexto, la Secretaría Distrital de Salud concluye que existe incumplimiento en la vacunación contra VPH en la población afiliada a Capital Salud EPS-S, recomendando fortalecer las estrategias de búsqueda activa, captación, demanda inducida y articulación territorial. Para ello, se requiere que la EPS implemente acciones verificables orientadas a depurar y actualizar la base nominal de la cohorte, identificar menores pendientes, realizar seguimiento individual, coordinar jornadas extramurales e institucionales, fortalecer la comunicación con familias y cuidadores, y monitorear periódicamente el avance de cobertura por localidad, sexo, IPS responsable y estado de vacunación.</w:t>
      </w:r>
    </w:p>
    <w:p w14:paraId="0D42444E" w14:textId="77777777" w:rsidR="00E84FA7" w:rsidRPr="00242DFB" w:rsidRDefault="00E84FA7" w:rsidP="005B2285">
      <w:pPr>
        <w:spacing w:line="360" w:lineRule="auto"/>
        <w:jc w:val="both"/>
        <w:rPr>
          <w:rFonts w:ascii="Arial" w:eastAsiaTheme="majorEastAsia" w:hAnsi="Arial" w:cs="Arial"/>
          <w:color w:val="000000" w:themeColor="text1"/>
        </w:rPr>
      </w:pPr>
    </w:p>
    <w:p w14:paraId="154C3C40" w14:textId="77777777" w:rsidR="00E84FA7" w:rsidRPr="00242DFB" w:rsidRDefault="00E84FA7" w:rsidP="005B2285">
      <w:pPr>
        <w:spacing w:line="360" w:lineRule="auto"/>
        <w:jc w:val="both"/>
        <w:rPr>
          <w:rFonts w:ascii="Arial" w:eastAsiaTheme="majorEastAsia" w:hAnsi="Arial" w:cs="Arial"/>
          <w:color w:val="000000" w:themeColor="text1"/>
        </w:rPr>
      </w:pPr>
      <w:r w:rsidRPr="00242DFB">
        <w:rPr>
          <w:rFonts w:ascii="Arial" w:eastAsiaTheme="majorEastAsia" w:hAnsi="Arial" w:cs="Arial"/>
          <w:color w:val="000000" w:themeColor="text1"/>
        </w:rPr>
        <w:t>En síntesis, las coberturas de 40,9% en niñas y 39,4% en niños evidencian una brecha significativa en la protección contra VPH en Capital Salud EPS-S. Este hallazgo debe priorizarse dentro del plan de mejoramiento de la EPS, con metas de recuperación de cobertura, responsables definidos, seguimiento nominal y evaluación periódica del cierre efectivo de la población pendiente.</w:t>
      </w:r>
    </w:p>
    <w:p w14:paraId="4E8A570E" w14:textId="77777777" w:rsidR="00E84FA7" w:rsidRPr="00242DFB" w:rsidRDefault="00E84FA7" w:rsidP="005B2285">
      <w:pPr>
        <w:rPr>
          <w:rFonts w:ascii="Arial" w:hAnsi="Arial" w:cs="Arial"/>
        </w:rPr>
      </w:pPr>
    </w:p>
    <w:p w14:paraId="0F4C78E1" w14:textId="77777777" w:rsidR="00E84FA7" w:rsidRPr="00242DFB" w:rsidRDefault="00E84FA7" w:rsidP="005B2285">
      <w:pPr>
        <w:rPr>
          <w:rFonts w:ascii="Arial" w:hAnsi="Arial" w:cs="Arial"/>
        </w:rPr>
      </w:pPr>
    </w:p>
    <w:p w14:paraId="158B146B" w14:textId="2508D8B1" w:rsidR="009F762E" w:rsidRPr="00242DFB" w:rsidRDefault="00000000" w:rsidP="005B2285">
      <w:pPr>
        <w:pStyle w:val="Ttulo3"/>
        <w:numPr>
          <w:ilvl w:val="2"/>
          <w:numId w:val="12"/>
        </w:numPr>
        <w:spacing w:before="0"/>
        <w:jc w:val="both"/>
        <w:rPr>
          <w:rFonts w:ascii="Arial" w:hAnsi="Arial" w:cs="Arial"/>
          <w:b/>
          <w:bCs/>
          <w:color w:val="000000" w:themeColor="text1"/>
        </w:rPr>
      </w:pPr>
      <w:bookmarkStart w:id="75" w:name="_Toc233574840"/>
      <w:r w:rsidRPr="00242DFB">
        <w:rPr>
          <w:rFonts w:ascii="Arial" w:hAnsi="Arial" w:cs="Arial"/>
          <w:b/>
          <w:bCs/>
          <w:color w:val="000000" w:themeColor="text1"/>
        </w:rPr>
        <w:t>Vacunación contra Influenza Estacional</w:t>
      </w:r>
      <w:bookmarkEnd w:id="75"/>
    </w:p>
    <w:p w14:paraId="5FA460EB" w14:textId="77777777" w:rsidR="00E84FA7" w:rsidRPr="00242DFB" w:rsidRDefault="00E84FA7" w:rsidP="005B2285">
      <w:pPr>
        <w:shd w:val="clear" w:color="auto" w:fill="FFFFFF" w:themeFill="background1"/>
        <w:spacing w:line="360" w:lineRule="auto"/>
        <w:jc w:val="both"/>
        <w:rPr>
          <w:rFonts w:ascii="Arial" w:eastAsia="Aptos" w:hAnsi="Arial" w:cs="Arial"/>
          <w:color w:val="000000"/>
        </w:rPr>
      </w:pPr>
    </w:p>
    <w:p w14:paraId="55B7BA26" w14:textId="77777777" w:rsidR="00B62695" w:rsidRPr="00242DFB" w:rsidRDefault="00B62695" w:rsidP="005B2285">
      <w:pPr>
        <w:shd w:val="clear" w:color="auto" w:fill="FFFFFF" w:themeFill="background1"/>
        <w:spacing w:line="360" w:lineRule="auto"/>
        <w:jc w:val="both"/>
        <w:rPr>
          <w:rFonts w:ascii="Arial" w:hAnsi="Arial" w:cs="Arial"/>
          <w:color w:val="000000" w:themeColor="text1"/>
        </w:rPr>
      </w:pPr>
      <w:r w:rsidRPr="00B62695">
        <w:rPr>
          <w:rFonts w:ascii="Arial" w:hAnsi="Arial" w:cs="Arial"/>
          <w:color w:val="000000" w:themeColor="text1"/>
        </w:rPr>
        <w:t xml:space="preserve">En relación con la vacunación contra influenza en la población afiliada a Capital Salud EPS-S, los resultados evidencian un comportamiento heterogéneo según grupo poblacional evaluado. Se observa cumplimiento únicamente en la primera dosis de influenza en menores de un año, con una cobertura del 100%, así como en la población con patologías crónicas, que también alcanzó una cobertura del 100%. Estos resultados muestran capacidad de respuesta en dos grupos específicos; sin embargo, no reflejan un cumplimiento integral del componente de </w:t>
      </w:r>
      <w:r w:rsidRPr="00B62695">
        <w:rPr>
          <w:rFonts w:ascii="Arial" w:hAnsi="Arial" w:cs="Arial"/>
          <w:color w:val="000000" w:themeColor="text1"/>
        </w:rPr>
        <w:lastRenderedPageBreak/>
        <w:t>vacunación, dado que persisten brechas importantes en los demás grupos priorizados.</w:t>
      </w:r>
    </w:p>
    <w:p w14:paraId="3AE82DD8" w14:textId="77777777" w:rsidR="00B62695" w:rsidRPr="00B62695" w:rsidRDefault="00B62695" w:rsidP="005B2285">
      <w:pPr>
        <w:shd w:val="clear" w:color="auto" w:fill="FFFFFF" w:themeFill="background1"/>
        <w:spacing w:line="360" w:lineRule="auto"/>
        <w:jc w:val="both"/>
        <w:rPr>
          <w:rFonts w:ascii="Arial" w:hAnsi="Arial" w:cs="Arial"/>
          <w:color w:val="000000" w:themeColor="text1"/>
        </w:rPr>
      </w:pPr>
    </w:p>
    <w:p w14:paraId="046D213F" w14:textId="77777777" w:rsidR="00B62695" w:rsidRPr="00242DFB" w:rsidRDefault="00B62695" w:rsidP="005B2285">
      <w:pPr>
        <w:shd w:val="clear" w:color="auto" w:fill="FFFFFF" w:themeFill="background1"/>
        <w:spacing w:line="360" w:lineRule="auto"/>
        <w:jc w:val="both"/>
        <w:rPr>
          <w:rFonts w:ascii="Arial" w:hAnsi="Arial" w:cs="Arial"/>
          <w:color w:val="000000" w:themeColor="text1"/>
        </w:rPr>
      </w:pPr>
      <w:r w:rsidRPr="00B62695">
        <w:rPr>
          <w:rFonts w:ascii="Arial" w:hAnsi="Arial" w:cs="Arial"/>
          <w:color w:val="000000" w:themeColor="text1"/>
        </w:rPr>
        <w:t>En menores de un año, aunque se alcanza cobertura completa en la primera dosis, la segunda dosis registra una cobertura de 66,0%, lo que evidencia una pérdida significativa en la continuidad del esquema. Este hallazgo es relevante, dado que la protección esperada frente a influenza en esta población depende no solo de la captación inicial, sino del cierre efectivo del esquema. La diferencia entre la primera y segunda dosis sugiere debilidades en el seguimiento nominal, recordatorio a cuidadores, demanda inducida y búsqueda activa de menores pendientes.</w:t>
      </w:r>
    </w:p>
    <w:p w14:paraId="50940A96" w14:textId="77777777" w:rsidR="00B62695" w:rsidRPr="00B62695" w:rsidRDefault="00B62695" w:rsidP="005B2285">
      <w:pPr>
        <w:shd w:val="clear" w:color="auto" w:fill="FFFFFF" w:themeFill="background1"/>
        <w:spacing w:line="360" w:lineRule="auto"/>
        <w:jc w:val="both"/>
        <w:rPr>
          <w:rFonts w:ascii="Arial" w:hAnsi="Arial" w:cs="Arial"/>
          <w:color w:val="000000" w:themeColor="text1"/>
        </w:rPr>
      </w:pPr>
    </w:p>
    <w:p w14:paraId="69A10E67" w14:textId="77777777" w:rsidR="00B62695" w:rsidRPr="00242DFB" w:rsidRDefault="00B62695" w:rsidP="005B2285">
      <w:pPr>
        <w:shd w:val="clear" w:color="auto" w:fill="FFFFFF" w:themeFill="background1"/>
        <w:spacing w:line="360" w:lineRule="auto"/>
        <w:jc w:val="both"/>
        <w:rPr>
          <w:rFonts w:ascii="Arial" w:hAnsi="Arial" w:cs="Arial"/>
          <w:color w:val="000000" w:themeColor="text1"/>
        </w:rPr>
      </w:pPr>
      <w:r w:rsidRPr="00B62695">
        <w:rPr>
          <w:rFonts w:ascii="Arial" w:hAnsi="Arial" w:cs="Arial"/>
          <w:color w:val="000000" w:themeColor="text1"/>
        </w:rPr>
        <w:t>En la población de niños de un año, las coberturas también se encuentran por debajo de la meta esperada, con 65,5% en primera dosis, 57,3% en segunda dosis y 58,3% en dosis única. Este comportamiento indica una brecha sostenida en la captación y continuidad de la vacunación infantil, especialmente en una etapa del curso de vida donde la prevención de infecciones respiratorias resulta prioritaria por el riesgo de complicaciones, consultas por urgencias, hospitalización y afectación en población vulnerable.</w:t>
      </w:r>
    </w:p>
    <w:p w14:paraId="1B4552FF" w14:textId="77777777" w:rsidR="00B62695" w:rsidRPr="00B62695" w:rsidRDefault="00B62695" w:rsidP="005B2285">
      <w:pPr>
        <w:shd w:val="clear" w:color="auto" w:fill="FFFFFF" w:themeFill="background1"/>
        <w:spacing w:line="360" w:lineRule="auto"/>
        <w:jc w:val="both"/>
        <w:rPr>
          <w:rFonts w:ascii="Arial" w:hAnsi="Arial" w:cs="Arial"/>
          <w:color w:val="000000" w:themeColor="text1"/>
        </w:rPr>
      </w:pPr>
    </w:p>
    <w:p w14:paraId="62B27F2D" w14:textId="77777777" w:rsidR="00B62695" w:rsidRPr="00B62695" w:rsidRDefault="00B62695" w:rsidP="005B2285">
      <w:pPr>
        <w:shd w:val="clear" w:color="auto" w:fill="FFFFFF" w:themeFill="background1"/>
        <w:spacing w:line="360" w:lineRule="auto"/>
        <w:jc w:val="both"/>
        <w:rPr>
          <w:rFonts w:ascii="Arial" w:hAnsi="Arial" w:cs="Arial"/>
          <w:color w:val="000000" w:themeColor="text1"/>
        </w:rPr>
      </w:pPr>
      <w:r w:rsidRPr="00B62695">
        <w:rPr>
          <w:rFonts w:ascii="Arial" w:hAnsi="Arial" w:cs="Arial"/>
          <w:color w:val="000000" w:themeColor="text1"/>
        </w:rPr>
        <w:t>En los grupos de mayor riesgo, los resultados muestran coberturas insuficientes en adultos mayores de 60 años, con 66,7%, y en gestantes, con 58,0%. Estos dos grupos requieren especial seguimiento, dado que presentan mayor riesgo de complicaciones asociadas a influenza. En el caso de las gestantes, la baja cobertura adquiere relevancia adicional por su relación con la protección materna y neonatal, por lo que debe articularse con la Ruta Integral de Atención Materno Perinatal, el control prenatal y la verificación del esquema de vacunación durante la gestación.</w:t>
      </w:r>
    </w:p>
    <w:p w14:paraId="6DB6513B" w14:textId="77777777" w:rsidR="00B62695" w:rsidRPr="00242DFB" w:rsidRDefault="00B62695" w:rsidP="005B2285">
      <w:pPr>
        <w:shd w:val="clear" w:color="auto" w:fill="FFFFFF" w:themeFill="background1"/>
        <w:spacing w:line="360" w:lineRule="auto"/>
        <w:jc w:val="both"/>
        <w:rPr>
          <w:rFonts w:ascii="Arial" w:hAnsi="Arial" w:cs="Arial"/>
          <w:color w:val="000000" w:themeColor="text1"/>
        </w:rPr>
      </w:pPr>
    </w:p>
    <w:p w14:paraId="74C5C18D" w14:textId="783393B4" w:rsidR="00B62695" w:rsidRPr="00242DFB" w:rsidRDefault="00B62695" w:rsidP="005B2285">
      <w:pPr>
        <w:shd w:val="clear" w:color="auto" w:fill="FFFFFF" w:themeFill="background1"/>
        <w:spacing w:line="360" w:lineRule="auto"/>
        <w:jc w:val="both"/>
        <w:rPr>
          <w:rFonts w:ascii="Arial" w:hAnsi="Arial" w:cs="Arial"/>
          <w:color w:val="000000" w:themeColor="text1"/>
        </w:rPr>
      </w:pPr>
      <w:r w:rsidRPr="00B62695">
        <w:rPr>
          <w:rFonts w:ascii="Arial" w:hAnsi="Arial" w:cs="Arial"/>
          <w:color w:val="000000" w:themeColor="text1"/>
        </w:rPr>
        <w:t xml:space="preserve">En contraste, la cobertura del 100% en población con patologías crónicas constituye un resultado favorable, que sugiere una mejor identificación y gestión de este grupo de riesgo. No obstante, este cumplimiento debe mantenerse mediante seguimiento </w:t>
      </w:r>
      <w:r w:rsidRPr="00B62695">
        <w:rPr>
          <w:rFonts w:ascii="Arial" w:hAnsi="Arial" w:cs="Arial"/>
          <w:color w:val="000000" w:themeColor="text1"/>
        </w:rPr>
        <w:lastRenderedPageBreak/>
        <w:t>nominal, actualización permanente de cohortes y articulación con los programas de gestión del riesgo de enfermedades crónicas.</w:t>
      </w:r>
    </w:p>
    <w:p w14:paraId="29276BB3" w14:textId="77777777" w:rsidR="00B62695" w:rsidRPr="00B62695" w:rsidRDefault="00B62695" w:rsidP="005B2285">
      <w:pPr>
        <w:shd w:val="clear" w:color="auto" w:fill="FFFFFF" w:themeFill="background1"/>
        <w:spacing w:line="360" w:lineRule="auto"/>
        <w:jc w:val="both"/>
        <w:rPr>
          <w:rFonts w:ascii="Arial" w:hAnsi="Arial" w:cs="Arial"/>
          <w:color w:val="000000" w:themeColor="text1"/>
        </w:rPr>
      </w:pPr>
    </w:p>
    <w:p w14:paraId="619F471D" w14:textId="77777777" w:rsidR="00B62695" w:rsidRPr="00B62695" w:rsidRDefault="00B62695" w:rsidP="005B2285">
      <w:pPr>
        <w:shd w:val="clear" w:color="auto" w:fill="FFFFFF" w:themeFill="background1"/>
        <w:spacing w:line="360" w:lineRule="auto"/>
        <w:jc w:val="both"/>
        <w:rPr>
          <w:rFonts w:ascii="Arial" w:hAnsi="Arial" w:cs="Arial"/>
          <w:color w:val="000000" w:themeColor="text1"/>
        </w:rPr>
      </w:pPr>
      <w:r w:rsidRPr="00B62695">
        <w:rPr>
          <w:rFonts w:ascii="Arial" w:hAnsi="Arial" w:cs="Arial"/>
          <w:color w:val="000000" w:themeColor="text1"/>
        </w:rPr>
        <w:t>En síntesis, aunque Capital Salud EPS-S evidencia cumplimiento en la primera dosis de influenza en menores de un año y en población con patologías crónicas, persisten incumplimientos relevantes en la continuidad del esquema infantil, niños de un año, adultos mayores y gestantes. Estos hallazgos orientan la necesidad de fortalecer las estrategias de búsqueda activa, demanda inducida, seguimiento nominal de esquemas incompletos, articulación con IPS vacunadoras, control prenatal y canales territoriales de captación, con énfasis en el cierre efectivo de brechas y no únicamente en la aplicación inicial de dosis.</w:t>
      </w:r>
    </w:p>
    <w:p w14:paraId="239C6D2B" w14:textId="77777777" w:rsidR="00927866" w:rsidRPr="00242DFB" w:rsidRDefault="00927866" w:rsidP="005B2285">
      <w:pPr>
        <w:shd w:val="clear" w:color="auto" w:fill="FFFFFF" w:themeFill="background1"/>
        <w:spacing w:line="360" w:lineRule="auto"/>
        <w:jc w:val="both"/>
        <w:rPr>
          <w:rFonts w:ascii="Arial" w:hAnsi="Arial" w:cs="Arial"/>
          <w:color w:val="000000" w:themeColor="text1"/>
        </w:rPr>
      </w:pPr>
    </w:p>
    <w:p w14:paraId="5EF6EA7A" w14:textId="36443791" w:rsidR="009F762E" w:rsidRPr="00242DFB" w:rsidRDefault="00000000" w:rsidP="005B2285">
      <w:pPr>
        <w:pStyle w:val="Ttulo3"/>
        <w:numPr>
          <w:ilvl w:val="2"/>
          <w:numId w:val="12"/>
        </w:numPr>
        <w:spacing w:before="0"/>
        <w:jc w:val="both"/>
        <w:rPr>
          <w:rFonts w:ascii="Arial" w:hAnsi="Arial" w:cs="Arial"/>
          <w:b/>
          <w:bCs/>
          <w:color w:val="000000" w:themeColor="text1"/>
        </w:rPr>
      </w:pPr>
      <w:bookmarkStart w:id="76" w:name="_Toc233574841"/>
      <w:r w:rsidRPr="00242DFB">
        <w:rPr>
          <w:rFonts w:ascii="Arial" w:hAnsi="Arial" w:cs="Arial"/>
          <w:b/>
          <w:bCs/>
          <w:color w:val="000000" w:themeColor="text1"/>
        </w:rPr>
        <w:t>Vacunación contra Fiebre Amarilla</w:t>
      </w:r>
      <w:r w:rsidR="00E82746">
        <w:rPr>
          <w:rStyle w:val="Refdenotaalpie"/>
          <w:rFonts w:ascii="Arial" w:hAnsi="Arial" w:cs="Arial"/>
          <w:b/>
          <w:bCs/>
          <w:color w:val="000000" w:themeColor="text1"/>
        </w:rPr>
        <w:footnoteReference w:id="9"/>
      </w:r>
      <w:bookmarkEnd w:id="76"/>
    </w:p>
    <w:p w14:paraId="37CE814F" w14:textId="77777777" w:rsidR="00927866" w:rsidRPr="00242DFB" w:rsidRDefault="00927866" w:rsidP="005B2285">
      <w:pPr>
        <w:shd w:val="clear" w:color="auto" w:fill="FFFFFF" w:themeFill="background1"/>
        <w:spacing w:line="360" w:lineRule="auto"/>
        <w:jc w:val="both"/>
        <w:rPr>
          <w:rFonts w:ascii="Arial" w:eastAsia="Aptos" w:hAnsi="Arial" w:cs="Arial"/>
          <w:color w:val="000000"/>
        </w:rPr>
      </w:pPr>
    </w:p>
    <w:p w14:paraId="304EE103" w14:textId="77777777" w:rsidR="00F04631" w:rsidRPr="00242DFB" w:rsidRDefault="00F04631" w:rsidP="005B2285">
      <w:pPr>
        <w:shd w:val="clear" w:color="auto" w:fill="FFFFFF" w:themeFill="background1"/>
        <w:spacing w:line="360" w:lineRule="auto"/>
        <w:jc w:val="both"/>
        <w:rPr>
          <w:rFonts w:ascii="Arial" w:hAnsi="Arial" w:cs="Arial"/>
          <w:color w:val="000000" w:themeColor="text1"/>
        </w:rPr>
      </w:pPr>
      <w:r w:rsidRPr="00F04631">
        <w:rPr>
          <w:rFonts w:ascii="Arial" w:hAnsi="Arial" w:cs="Arial"/>
          <w:color w:val="000000" w:themeColor="text1"/>
        </w:rPr>
        <w:t xml:space="preserve">La información reportada para </w:t>
      </w:r>
      <w:r w:rsidRPr="00F04631">
        <w:rPr>
          <w:rFonts w:ascii="Arial" w:hAnsi="Arial" w:cs="Arial"/>
          <w:b/>
          <w:bCs/>
          <w:color w:val="000000" w:themeColor="text1"/>
        </w:rPr>
        <w:t>fiebre amarilla</w:t>
      </w:r>
      <w:r w:rsidRPr="00F04631">
        <w:rPr>
          <w:rFonts w:ascii="Arial" w:hAnsi="Arial" w:cs="Arial"/>
          <w:color w:val="000000" w:themeColor="text1"/>
        </w:rPr>
        <w:t xml:space="preserve"> requiere validación y depuración antes de ser utilizada como cifra definitiva en el informe, dado que se identifica una inconsistencia entre la cobertura acumulada señalada y los valores absolutos </w:t>
      </w:r>
      <w:r w:rsidRPr="00F04631">
        <w:rPr>
          <w:rFonts w:ascii="Arial" w:hAnsi="Arial" w:cs="Arial"/>
          <w:color w:val="000000" w:themeColor="text1"/>
        </w:rPr>
        <w:lastRenderedPageBreak/>
        <w:t xml:space="preserve">registrados. En el reporte se menciona una cobertura acumulada de </w:t>
      </w:r>
      <w:r w:rsidRPr="00F04631">
        <w:rPr>
          <w:rFonts w:ascii="Arial" w:hAnsi="Arial" w:cs="Arial"/>
          <w:b/>
          <w:bCs/>
          <w:color w:val="000000" w:themeColor="text1"/>
        </w:rPr>
        <w:t>75,9%</w:t>
      </w:r>
      <w:r w:rsidRPr="00F04631">
        <w:rPr>
          <w:rFonts w:ascii="Arial" w:hAnsi="Arial" w:cs="Arial"/>
          <w:color w:val="000000" w:themeColor="text1"/>
        </w:rPr>
        <w:t xml:space="preserve">; sin embargo, los datos absolutos indican una </w:t>
      </w:r>
      <w:r w:rsidRPr="00F04631">
        <w:rPr>
          <w:rFonts w:ascii="Arial" w:hAnsi="Arial" w:cs="Arial"/>
          <w:b/>
          <w:bCs/>
          <w:color w:val="000000" w:themeColor="text1"/>
        </w:rPr>
        <w:t>meta de 53.581 personas</w:t>
      </w:r>
      <w:r w:rsidRPr="00F04631">
        <w:rPr>
          <w:rFonts w:ascii="Arial" w:hAnsi="Arial" w:cs="Arial"/>
          <w:color w:val="000000" w:themeColor="text1"/>
        </w:rPr>
        <w:t xml:space="preserve">, </w:t>
      </w:r>
      <w:r w:rsidRPr="00F04631">
        <w:rPr>
          <w:rFonts w:ascii="Arial" w:hAnsi="Arial" w:cs="Arial"/>
          <w:b/>
          <w:bCs/>
          <w:color w:val="000000" w:themeColor="text1"/>
        </w:rPr>
        <w:t>1.759 vacunados</w:t>
      </w:r>
      <w:r w:rsidRPr="00F04631">
        <w:rPr>
          <w:rFonts w:ascii="Arial" w:hAnsi="Arial" w:cs="Arial"/>
          <w:color w:val="000000" w:themeColor="text1"/>
        </w:rPr>
        <w:t xml:space="preserve"> y </w:t>
      </w:r>
      <w:r w:rsidRPr="00F04631">
        <w:rPr>
          <w:rFonts w:ascii="Arial" w:hAnsi="Arial" w:cs="Arial"/>
          <w:b/>
          <w:bCs/>
          <w:color w:val="000000" w:themeColor="text1"/>
        </w:rPr>
        <w:t>51.822 pendientes por vacunar</w:t>
      </w:r>
      <w:r w:rsidRPr="00F04631">
        <w:rPr>
          <w:rFonts w:ascii="Arial" w:hAnsi="Arial" w:cs="Arial"/>
          <w:color w:val="000000" w:themeColor="text1"/>
        </w:rPr>
        <w:t xml:space="preserve">. Con estos valores, la cobertura calculada corresponde aproximadamente al </w:t>
      </w:r>
      <w:r w:rsidRPr="00F04631">
        <w:rPr>
          <w:rFonts w:ascii="Arial" w:hAnsi="Arial" w:cs="Arial"/>
          <w:b/>
          <w:bCs/>
          <w:color w:val="000000" w:themeColor="text1"/>
        </w:rPr>
        <w:t>3,3%</w:t>
      </w:r>
      <w:r w:rsidRPr="00F04631">
        <w:rPr>
          <w:rFonts w:ascii="Arial" w:hAnsi="Arial" w:cs="Arial"/>
          <w:color w:val="000000" w:themeColor="text1"/>
        </w:rPr>
        <w:t>, resultado que no es consistente con el porcentaje reportado inicialmente.</w:t>
      </w:r>
    </w:p>
    <w:p w14:paraId="13BB9F53" w14:textId="77777777" w:rsidR="00F04631" w:rsidRPr="00F04631" w:rsidRDefault="00F04631" w:rsidP="005B2285">
      <w:pPr>
        <w:shd w:val="clear" w:color="auto" w:fill="FFFFFF" w:themeFill="background1"/>
        <w:spacing w:line="360" w:lineRule="auto"/>
        <w:jc w:val="both"/>
        <w:rPr>
          <w:rFonts w:ascii="Arial" w:hAnsi="Arial" w:cs="Arial"/>
          <w:color w:val="000000" w:themeColor="text1"/>
        </w:rPr>
      </w:pPr>
    </w:p>
    <w:p w14:paraId="6D4DEFB0" w14:textId="77777777" w:rsidR="00F04631" w:rsidRPr="00242DFB" w:rsidRDefault="00F04631" w:rsidP="005B2285">
      <w:pPr>
        <w:shd w:val="clear" w:color="auto" w:fill="FFFFFF" w:themeFill="background1"/>
        <w:spacing w:line="360" w:lineRule="auto"/>
        <w:jc w:val="both"/>
        <w:rPr>
          <w:rFonts w:ascii="Arial" w:hAnsi="Arial" w:cs="Arial"/>
          <w:color w:val="000000" w:themeColor="text1"/>
        </w:rPr>
      </w:pPr>
      <w:r w:rsidRPr="00F04631">
        <w:rPr>
          <w:rFonts w:ascii="Arial" w:hAnsi="Arial" w:cs="Arial"/>
          <w:color w:val="000000" w:themeColor="text1"/>
        </w:rPr>
        <w:t xml:space="preserve">De acuerdo con la información disponible, los resultados preliminares son los siguientes: </w:t>
      </w:r>
      <w:r w:rsidRPr="00F04631">
        <w:rPr>
          <w:rFonts w:ascii="Arial" w:hAnsi="Arial" w:cs="Arial"/>
          <w:b/>
          <w:bCs/>
          <w:color w:val="000000" w:themeColor="text1"/>
        </w:rPr>
        <w:t>meta de 53.581 personas</w:t>
      </w:r>
      <w:r w:rsidRPr="00F04631">
        <w:rPr>
          <w:rFonts w:ascii="Arial" w:hAnsi="Arial" w:cs="Arial"/>
          <w:color w:val="000000" w:themeColor="text1"/>
        </w:rPr>
        <w:t xml:space="preserve">, </w:t>
      </w:r>
      <w:r w:rsidRPr="00F04631">
        <w:rPr>
          <w:rFonts w:ascii="Arial" w:hAnsi="Arial" w:cs="Arial"/>
          <w:b/>
          <w:bCs/>
          <w:color w:val="000000" w:themeColor="text1"/>
        </w:rPr>
        <w:t>1.759 personas vacunadas</w:t>
      </w:r>
      <w:r w:rsidRPr="00F04631">
        <w:rPr>
          <w:rFonts w:ascii="Arial" w:hAnsi="Arial" w:cs="Arial"/>
          <w:color w:val="000000" w:themeColor="text1"/>
        </w:rPr>
        <w:t xml:space="preserve"> y </w:t>
      </w:r>
      <w:r w:rsidRPr="00F04631">
        <w:rPr>
          <w:rFonts w:ascii="Arial" w:hAnsi="Arial" w:cs="Arial"/>
          <w:b/>
          <w:bCs/>
          <w:color w:val="000000" w:themeColor="text1"/>
        </w:rPr>
        <w:t>51.822 pendientes por vacunar</w:t>
      </w:r>
      <w:r w:rsidRPr="00F04631">
        <w:rPr>
          <w:rFonts w:ascii="Arial" w:hAnsi="Arial" w:cs="Arial"/>
          <w:color w:val="000000" w:themeColor="text1"/>
        </w:rPr>
        <w:t>. Este comportamiento, si se confirma sobre el mismo denominador, evidenciaría una brecha importante en la captación y vacunación de la población susceptible, con necesidad de acciones inmediatas de búsqueda activa, depuración nominal y seguimiento territorial.</w:t>
      </w:r>
    </w:p>
    <w:p w14:paraId="16D5A207" w14:textId="77777777" w:rsidR="00F04631" w:rsidRPr="00F04631" w:rsidRDefault="00F04631" w:rsidP="005B2285">
      <w:pPr>
        <w:shd w:val="clear" w:color="auto" w:fill="FFFFFF" w:themeFill="background1"/>
        <w:spacing w:line="360" w:lineRule="auto"/>
        <w:jc w:val="both"/>
        <w:rPr>
          <w:rFonts w:ascii="Arial" w:hAnsi="Arial" w:cs="Arial"/>
          <w:color w:val="000000" w:themeColor="text1"/>
        </w:rPr>
      </w:pPr>
    </w:p>
    <w:p w14:paraId="61F1261A" w14:textId="77777777" w:rsidR="00F04631" w:rsidRPr="00242DFB" w:rsidRDefault="00F04631" w:rsidP="005B2285">
      <w:pPr>
        <w:shd w:val="clear" w:color="auto" w:fill="FFFFFF" w:themeFill="background1"/>
        <w:spacing w:line="360" w:lineRule="auto"/>
        <w:jc w:val="both"/>
        <w:rPr>
          <w:rFonts w:ascii="Arial" w:hAnsi="Arial" w:cs="Arial"/>
          <w:color w:val="000000" w:themeColor="text1"/>
        </w:rPr>
      </w:pPr>
      <w:r w:rsidRPr="00F04631">
        <w:rPr>
          <w:rFonts w:ascii="Arial" w:hAnsi="Arial" w:cs="Arial"/>
          <w:color w:val="000000" w:themeColor="text1"/>
        </w:rPr>
        <w:t xml:space="preserve">Desde la perspectiva de salud pública, la vacunación contra fiebre amarilla requiere especial control en población susceptible, grupos priorizados y personas con exposición o tránsito hacia zonas de riesgo. En consecuencia, la Secretaría Distrital de Salud reitera la necesidad de fortalecer las actividades de </w:t>
      </w:r>
      <w:r w:rsidRPr="00F04631">
        <w:rPr>
          <w:rFonts w:ascii="Arial" w:hAnsi="Arial" w:cs="Arial"/>
          <w:b/>
          <w:bCs/>
          <w:color w:val="000000" w:themeColor="text1"/>
        </w:rPr>
        <w:t>identificación, captación, demanda inducida y vacunación efectiva</w:t>
      </w:r>
      <w:r w:rsidRPr="00F04631">
        <w:rPr>
          <w:rFonts w:ascii="Arial" w:hAnsi="Arial" w:cs="Arial"/>
          <w:color w:val="000000" w:themeColor="text1"/>
        </w:rPr>
        <w:t>, garantizando que la EPS cuente con bases nominales depuradas, población pendiente claramente identificada, puntos de vacunación disponibles, articulación con IPS vacunadoras y seguimiento periódico al cierre de brechas.</w:t>
      </w:r>
    </w:p>
    <w:p w14:paraId="2E244DBF" w14:textId="77777777" w:rsidR="00F04631" w:rsidRPr="00F04631" w:rsidRDefault="00F04631" w:rsidP="005B2285">
      <w:pPr>
        <w:shd w:val="clear" w:color="auto" w:fill="FFFFFF" w:themeFill="background1"/>
        <w:spacing w:line="360" w:lineRule="auto"/>
        <w:jc w:val="both"/>
        <w:rPr>
          <w:rFonts w:ascii="Arial" w:hAnsi="Arial" w:cs="Arial"/>
          <w:color w:val="000000" w:themeColor="text1"/>
        </w:rPr>
      </w:pPr>
    </w:p>
    <w:p w14:paraId="7B4F9453" w14:textId="77777777" w:rsidR="00F04631" w:rsidRPr="00F04631" w:rsidRDefault="00F04631" w:rsidP="005B2285">
      <w:pPr>
        <w:shd w:val="clear" w:color="auto" w:fill="FFFFFF" w:themeFill="background1"/>
        <w:spacing w:line="360" w:lineRule="auto"/>
        <w:jc w:val="both"/>
        <w:rPr>
          <w:rFonts w:ascii="Arial" w:hAnsi="Arial" w:cs="Arial"/>
          <w:color w:val="000000" w:themeColor="text1"/>
        </w:rPr>
      </w:pPr>
      <w:r w:rsidRPr="00F04631">
        <w:rPr>
          <w:rFonts w:ascii="Arial" w:hAnsi="Arial" w:cs="Arial"/>
          <w:color w:val="000000" w:themeColor="text1"/>
        </w:rPr>
        <w:t>En síntesis, antes de incorporar este indicador como resultado final del informe, se recomienda validar el cálculo con la fuente oficial, confirmar si el porcentaje de 75,9% corresponde a otro corte, cohorte o denominador, y dejar como observación técnica que, con los datos absolutos actualmente reportados, la cobertura estimada sería de 3,3%. Esta depuración es necesaria para evitar interpretaciones erróneas y garantizar que las decisiones de seguimiento a Capital Salud EPS-S se fundamenten en información consistente, verificable y trazable.</w:t>
      </w:r>
    </w:p>
    <w:p w14:paraId="57E4A7A1" w14:textId="77777777" w:rsidR="00F04631" w:rsidRPr="00242DFB" w:rsidRDefault="00F04631" w:rsidP="005B2285">
      <w:pPr>
        <w:shd w:val="clear" w:color="auto" w:fill="FFFFFF" w:themeFill="background1"/>
        <w:spacing w:line="360" w:lineRule="auto"/>
        <w:jc w:val="both"/>
        <w:rPr>
          <w:rFonts w:ascii="Arial" w:hAnsi="Arial" w:cs="Arial"/>
          <w:color w:val="000000" w:themeColor="text1"/>
        </w:rPr>
      </w:pPr>
    </w:p>
    <w:p w14:paraId="5A1545C8" w14:textId="4F6E3084" w:rsidR="009F762E" w:rsidRPr="00242DFB" w:rsidRDefault="00000000" w:rsidP="005B2285">
      <w:pPr>
        <w:pStyle w:val="Ttulo3"/>
        <w:numPr>
          <w:ilvl w:val="2"/>
          <w:numId w:val="12"/>
        </w:numPr>
        <w:spacing w:before="0"/>
        <w:jc w:val="both"/>
        <w:rPr>
          <w:rFonts w:ascii="Arial" w:hAnsi="Arial" w:cs="Arial"/>
          <w:b/>
          <w:bCs/>
          <w:color w:val="000000" w:themeColor="text1"/>
        </w:rPr>
      </w:pPr>
      <w:bookmarkStart w:id="77" w:name="_Toc233574842"/>
      <w:r w:rsidRPr="00242DFB">
        <w:rPr>
          <w:rFonts w:ascii="Arial" w:hAnsi="Arial" w:cs="Arial"/>
          <w:b/>
          <w:bCs/>
          <w:color w:val="000000" w:themeColor="text1"/>
        </w:rPr>
        <w:t>Vacunación contra Sarampión-Rubéola</w:t>
      </w:r>
      <w:bookmarkEnd w:id="77"/>
    </w:p>
    <w:p w14:paraId="6A09FB8A" w14:textId="77777777" w:rsidR="00F04631" w:rsidRPr="00242DFB" w:rsidRDefault="00F04631" w:rsidP="005B2285">
      <w:pPr>
        <w:shd w:val="clear" w:color="auto" w:fill="FFFFFF" w:themeFill="background1"/>
        <w:spacing w:line="360" w:lineRule="auto"/>
        <w:jc w:val="both"/>
        <w:rPr>
          <w:rFonts w:ascii="Arial" w:eastAsia="Aptos" w:hAnsi="Arial" w:cs="Arial"/>
          <w:color w:val="000000"/>
        </w:rPr>
      </w:pPr>
    </w:p>
    <w:p w14:paraId="573F76A1" w14:textId="77777777" w:rsidR="00F04631" w:rsidRPr="00242DFB" w:rsidRDefault="00F04631" w:rsidP="005B2285">
      <w:pPr>
        <w:shd w:val="clear" w:color="auto" w:fill="FFFFFF" w:themeFill="background1"/>
        <w:spacing w:line="360" w:lineRule="auto"/>
        <w:jc w:val="both"/>
        <w:rPr>
          <w:rFonts w:ascii="Arial" w:eastAsia="Aptos" w:hAnsi="Arial" w:cs="Arial"/>
          <w:color w:val="000000" w:themeColor="text1"/>
        </w:rPr>
      </w:pPr>
      <w:r w:rsidRPr="00F04631">
        <w:rPr>
          <w:rFonts w:ascii="Arial" w:eastAsia="Aptos" w:hAnsi="Arial" w:cs="Arial"/>
          <w:color w:val="000000" w:themeColor="text1"/>
        </w:rPr>
        <w:lastRenderedPageBreak/>
        <w:t xml:space="preserve">Para la estrategia de </w:t>
      </w:r>
      <w:r w:rsidRPr="00F04631">
        <w:rPr>
          <w:rFonts w:ascii="Arial" w:eastAsia="Aptos" w:hAnsi="Arial" w:cs="Arial"/>
          <w:b/>
          <w:bCs/>
          <w:color w:val="000000" w:themeColor="text1"/>
        </w:rPr>
        <w:t>sarampión-rubéola</w:t>
      </w:r>
      <w:r w:rsidRPr="00F04631">
        <w:rPr>
          <w:rFonts w:ascii="Arial" w:eastAsia="Aptos" w:hAnsi="Arial" w:cs="Arial"/>
          <w:color w:val="000000" w:themeColor="text1"/>
        </w:rPr>
        <w:t xml:space="preserve">, la cobertura alcanzada por Capital Salud EPS-S durante la vigencia 2025 fue de </w:t>
      </w:r>
      <w:r w:rsidRPr="00F04631">
        <w:rPr>
          <w:rFonts w:ascii="Arial" w:eastAsia="Aptos" w:hAnsi="Arial" w:cs="Arial"/>
          <w:b/>
          <w:bCs/>
          <w:color w:val="000000" w:themeColor="text1"/>
        </w:rPr>
        <w:t>73,2%</w:t>
      </w:r>
      <w:r w:rsidRPr="00F04631">
        <w:rPr>
          <w:rFonts w:ascii="Arial" w:eastAsia="Aptos" w:hAnsi="Arial" w:cs="Arial"/>
          <w:color w:val="000000" w:themeColor="text1"/>
        </w:rPr>
        <w:t xml:space="preserve">, correspondiente a </w:t>
      </w:r>
      <w:r w:rsidRPr="00F04631">
        <w:rPr>
          <w:rFonts w:ascii="Arial" w:eastAsia="Aptos" w:hAnsi="Arial" w:cs="Arial"/>
          <w:b/>
          <w:bCs/>
          <w:color w:val="000000" w:themeColor="text1"/>
        </w:rPr>
        <w:t>89.607 personas vacunadas</w:t>
      </w:r>
      <w:r w:rsidRPr="00F04631">
        <w:rPr>
          <w:rFonts w:ascii="Arial" w:eastAsia="Aptos" w:hAnsi="Arial" w:cs="Arial"/>
          <w:color w:val="000000" w:themeColor="text1"/>
        </w:rPr>
        <w:t xml:space="preserve"> frente a una </w:t>
      </w:r>
      <w:r w:rsidRPr="00F04631">
        <w:rPr>
          <w:rFonts w:ascii="Arial" w:eastAsia="Aptos" w:hAnsi="Arial" w:cs="Arial"/>
          <w:b/>
          <w:bCs/>
          <w:color w:val="000000" w:themeColor="text1"/>
        </w:rPr>
        <w:t>meta de 122.446 personas</w:t>
      </w:r>
      <w:r w:rsidRPr="00F04631">
        <w:rPr>
          <w:rFonts w:ascii="Arial" w:eastAsia="Aptos" w:hAnsi="Arial" w:cs="Arial"/>
          <w:color w:val="000000" w:themeColor="text1"/>
        </w:rPr>
        <w:t xml:space="preserve">. Este resultado deja un total de </w:t>
      </w:r>
      <w:r w:rsidRPr="00F04631">
        <w:rPr>
          <w:rFonts w:ascii="Arial" w:eastAsia="Aptos" w:hAnsi="Arial" w:cs="Arial"/>
          <w:b/>
          <w:bCs/>
          <w:color w:val="000000" w:themeColor="text1"/>
        </w:rPr>
        <w:t>32.839 susceptibles pendientes por vacunar</w:t>
      </w:r>
      <w:r w:rsidRPr="00F04631">
        <w:rPr>
          <w:rFonts w:ascii="Arial" w:eastAsia="Aptos" w:hAnsi="Arial" w:cs="Arial"/>
          <w:color w:val="000000" w:themeColor="text1"/>
        </w:rPr>
        <w:t xml:space="preserve">, lo que representa una brecha relevante frente a la meta mínima esperada del </w:t>
      </w:r>
      <w:r w:rsidRPr="00F04631">
        <w:rPr>
          <w:rFonts w:ascii="Arial" w:eastAsia="Aptos" w:hAnsi="Arial" w:cs="Arial"/>
          <w:b/>
          <w:bCs/>
          <w:color w:val="000000" w:themeColor="text1"/>
        </w:rPr>
        <w:t>95%</w:t>
      </w:r>
      <w:r w:rsidRPr="00F04631">
        <w:rPr>
          <w:rFonts w:ascii="Arial" w:eastAsia="Aptos" w:hAnsi="Arial" w:cs="Arial"/>
          <w:color w:val="000000" w:themeColor="text1"/>
        </w:rPr>
        <w:t xml:space="preserve"> para el Programa Ampliado de Inmunizaciones —PAI—.</w:t>
      </w:r>
    </w:p>
    <w:p w14:paraId="2BA18770" w14:textId="77777777" w:rsidR="00F04631" w:rsidRPr="00F04631" w:rsidRDefault="00F04631" w:rsidP="005B2285">
      <w:pPr>
        <w:shd w:val="clear" w:color="auto" w:fill="FFFFFF" w:themeFill="background1"/>
        <w:spacing w:line="360" w:lineRule="auto"/>
        <w:jc w:val="both"/>
        <w:rPr>
          <w:rFonts w:ascii="Arial" w:eastAsia="Aptos" w:hAnsi="Arial" w:cs="Arial"/>
          <w:color w:val="000000" w:themeColor="text1"/>
        </w:rPr>
      </w:pPr>
    </w:p>
    <w:p w14:paraId="38B6F39A" w14:textId="77777777" w:rsidR="00F04631" w:rsidRPr="00242DFB" w:rsidRDefault="00F04631" w:rsidP="005B2285">
      <w:pPr>
        <w:shd w:val="clear" w:color="auto" w:fill="FFFFFF" w:themeFill="background1"/>
        <w:spacing w:line="360" w:lineRule="auto"/>
        <w:jc w:val="both"/>
        <w:rPr>
          <w:rFonts w:ascii="Arial" w:eastAsia="Aptos" w:hAnsi="Arial" w:cs="Arial"/>
          <w:color w:val="000000" w:themeColor="text1"/>
        </w:rPr>
      </w:pPr>
      <w:r w:rsidRPr="00F04631">
        <w:rPr>
          <w:rFonts w:ascii="Arial" w:eastAsia="Aptos" w:hAnsi="Arial" w:cs="Arial"/>
          <w:color w:val="000000" w:themeColor="text1"/>
        </w:rPr>
        <w:t>El resultado evidencia un cumplimiento parcial de la estrategia, pero insuficiente para garantizar niveles adecuados de protección colectiva en la población afiliada. La permanencia de más de treinta mil personas susceptibles constituye una alerta en salud pública, dado que el sarampión es una enfermedad altamente transmisible y requiere coberturas sostenidas y elevadas para reducir el riesgo de reintroducción, transmisión secundaria y aparición de brotes en población no vacunada o con esquemas incompletos.</w:t>
      </w:r>
    </w:p>
    <w:p w14:paraId="5F471648" w14:textId="77777777" w:rsidR="00F04631" w:rsidRPr="00F04631" w:rsidRDefault="00F04631" w:rsidP="005B2285">
      <w:pPr>
        <w:shd w:val="clear" w:color="auto" w:fill="FFFFFF" w:themeFill="background1"/>
        <w:spacing w:line="360" w:lineRule="auto"/>
        <w:jc w:val="both"/>
        <w:rPr>
          <w:rFonts w:ascii="Arial" w:eastAsia="Aptos" w:hAnsi="Arial" w:cs="Arial"/>
          <w:color w:val="000000" w:themeColor="text1"/>
        </w:rPr>
      </w:pPr>
    </w:p>
    <w:p w14:paraId="5DAC311D" w14:textId="77777777" w:rsidR="00F04631" w:rsidRPr="00242DFB" w:rsidRDefault="00F04631" w:rsidP="005B2285">
      <w:pPr>
        <w:shd w:val="clear" w:color="auto" w:fill="FFFFFF" w:themeFill="background1"/>
        <w:spacing w:line="360" w:lineRule="auto"/>
        <w:jc w:val="both"/>
        <w:rPr>
          <w:rFonts w:ascii="Arial" w:eastAsia="Aptos" w:hAnsi="Arial" w:cs="Arial"/>
          <w:color w:val="000000" w:themeColor="text1"/>
        </w:rPr>
      </w:pPr>
      <w:r w:rsidRPr="00F04631">
        <w:rPr>
          <w:rFonts w:ascii="Arial" w:eastAsia="Aptos" w:hAnsi="Arial" w:cs="Arial"/>
          <w:color w:val="000000" w:themeColor="text1"/>
        </w:rPr>
        <w:t>En este sentido, la EAPB Capital Salud presenta incumplimiento en las metas de cobertura establecidas para el Programa Ampliado de Inmunizaciones durante la vigencia 2025. Las mayores brechas se evidencian en el refuerzo de DPT para niños de cinco años, la vacunación contra VPH, y las estrategias de captación para fiebre amarilla y sarampión-rubéola. Estos resultados sugieren debilidades en la identificación nominal de población susceptible, búsqueda activa, demanda inducida, seguimiento de esquemas incompletos, articulación con IPS vacunadoras y cierre efectivo de cohortes priorizadas.</w:t>
      </w:r>
    </w:p>
    <w:p w14:paraId="7D502D7F" w14:textId="77777777" w:rsidR="00F04631" w:rsidRPr="00F04631" w:rsidRDefault="00F04631" w:rsidP="005B2285">
      <w:pPr>
        <w:shd w:val="clear" w:color="auto" w:fill="FFFFFF" w:themeFill="background1"/>
        <w:spacing w:line="360" w:lineRule="auto"/>
        <w:jc w:val="both"/>
        <w:rPr>
          <w:rFonts w:ascii="Arial" w:eastAsia="Aptos" w:hAnsi="Arial" w:cs="Arial"/>
          <w:color w:val="000000" w:themeColor="text1"/>
        </w:rPr>
      </w:pPr>
    </w:p>
    <w:p w14:paraId="31E4FB08" w14:textId="77777777" w:rsidR="00F04631" w:rsidRPr="00242DFB" w:rsidRDefault="00F04631" w:rsidP="005B2285">
      <w:pPr>
        <w:shd w:val="clear" w:color="auto" w:fill="FFFFFF" w:themeFill="background1"/>
        <w:spacing w:line="360" w:lineRule="auto"/>
        <w:jc w:val="both"/>
        <w:rPr>
          <w:rFonts w:ascii="Arial" w:eastAsia="Aptos" w:hAnsi="Arial" w:cs="Arial"/>
          <w:color w:val="000000" w:themeColor="text1"/>
        </w:rPr>
      </w:pPr>
      <w:r w:rsidRPr="00F04631">
        <w:rPr>
          <w:rFonts w:ascii="Arial" w:eastAsia="Aptos" w:hAnsi="Arial" w:cs="Arial"/>
          <w:color w:val="000000" w:themeColor="text1"/>
        </w:rPr>
        <w:t xml:space="preserve">Aunque se observan avances en algunos componentes del programa, las coberturas alcanzadas continúan por debajo de la meta mínima esperada del </w:t>
      </w:r>
      <w:r w:rsidRPr="00F04631">
        <w:rPr>
          <w:rFonts w:ascii="Arial" w:eastAsia="Aptos" w:hAnsi="Arial" w:cs="Arial"/>
          <w:b/>
          <w:bCs/>
          <w:color w:val="000000" w:themeColor="text1"/>
        </w:rPr>
        <w:t>95%</w:t>
      </w:r>
      <w:r w:rsidRPr="00F04631">
        <w:rPr>
          <w:rFonts w:ascii="Arial" w:eastAsia="Aptos" w:hAnsi="Arial" w:cs="Arial"/>
          <w:color w:val="000000" w:themeColor="text1"/>
        </w:rPr>
        <w:t xml:space="preserve">, lo que incrementa el riesgo de acumulación de susceptibles y de aparición de enfermedades inmunoprevenibles en la población afiliada. Esta situación requiere un abordaje operativo inmediato por parte de la EPS, orientado a depurar bases nominales, identificar población pendiente, activar estrategias extramurales e </w:t>
      </w:r>
      <w:r w:rsidRPr="00F04631">
        <w:rPr>
          <w:rFonts w:ascii="Arial" w:eastAsia="Aptos" w:hAnsi="Arial" w:cs="Arial"/>
          <w:color w:val="000000" w:themeColor="text1"/>
        </w:rPr>
        <w:lastRenderedPageBreak/>
        <w:t>institucionales, fortalecer la comunicación con familias y cuidadores, y realizar seguimiento periódico por localidad, edad, IPS asignada y estado de vacunación.</w:t>
      </w:r>
    </w:p>
    <w:p w14:paraId="542B13D5" w14:textId="77777777" w:rsidR="00F97D77" w:rsidRPr="00F04631" w:rsidRDefault="00F97D77" w:rsidP="005B2285">
      <w:pPr>
        <w:shd w:val="clear" w:color="auto" w:fill="FFFFFF" w:themeFill="background1"/>
        <w:spacing w:line="360" w:lineRule="auto"/>
        <w:jc w:val="both"/>
        <w:rPr>
          <w:rFonts w:ascii="Arial" w:eastAsia="Aptos" w:hAnsi="Arial" w:cs="Arial"/>
          <w:color w:val="000000" w:themeColor="text1"/>
        </w:rPr>
      </w:pPr>
    </w:p>
    <w:p w14:paraId="387F1F0C" w14:textId="77777777" w:rsidR="00F04631" w:rsidRPr="00F04631" w:rsidRDefault="00F04631" w:rsidP="005B2285">
      <w:pPr>
        <w:shd w:val="clear" w:color="auto" w:fill="FFFFFF" w:themeFill="background1"/>
        <w:spacing w:line="360" w:lineRule="auto"/>
        <w:jc w:val="both"/>
        <w:rPr>
          <w:rFonts w:ascii="Arial" w:eastAsia="Aptos" w:hAnsi="Arial" w:cs="Arial"/>
          <w:color w:val="000000" w:themeColor="text1"/>
        </w:rPr>
      </w:pPr>
      <w:r w:rsidRPr="00F04631">
        <w:rPr>
          <w:rFonts w:ascii="Arial" w:eastAsia="Aptos" w:hAnsi="Arial" w:cs="Arial"/>
          <w:color w:val="000000" w:themeColor="text1"/>
        </w:rPr>
        <w:t xml:space="preserve">En conclusión, la cobertura de </w:t>
      </w:r>
      <w:r w:rsidRPr="00F04631">
        <w:rPr>
          <w:rFonts w:ascii="Arial" w:eastAsia="Aptos" w:hAnsi="Arial" w:cs="Arial"/>
          <w:b/>
          <w:bCs/>
          <w:color w:val="000000" w:themeColor="text1"/>
        </w:rPr>
        <w:t>73,2% en sarampión-rubéola</w:t>
      </w:r>
      <w:r w:rsidRPr="00F04631">
        <w:rPr>
          <w:rFonts w:ascii="Arial" w:eastAsia="Aptos" w:hAnsi="Arial" w:cs="Arial"/>
          <w:color w:val="000000" w:themeColor="text1"/>
        </w:rPr>
        <w:t xml:space="preserve"> refleja una brecha significativa frente al estándar esperado del PAI y debe ser priorizada dentro del plan de mejoramiento de Capital Salud EPS-S. La intervención debe enfocarse en reducir el número de susceptibles pendientes, garantizar el cierre de esquemas y fortalecer la vigilancia de coberturas, con el fin de disminuir el riesgo de eventos inmunoprevenibles y proteger de manera efectiva a la población afiliada.</w:t>
      </w:r>
    </w:p>
    <w:p w14:paraId="0977FC62" w14:textId="77777777" w:rsidR="009F762E" w:rsidRPr="00242DFB" w:rsidRDefault="009F762E" w:rsidP="005B2285">
      <w:pPr>
        <w:shd w:val="clear" w:color="auto" w:fill="FFFFFF" w:themeFill="background1"/>
        <w:spacing w:line="360" w:lineRule="auto"/>
        <w:jc w:val="both"/>
        <w:rPr>
          <w:rFonts w:ascii="Arial" w:eastAsia="Aptos" w:hAnsi="Arial" w:cs="Arial"/>
          <w:color w:val="000000" w:themeColor="text1"/>
        </w:rPr>
      </w:pPr>
    </w:p>
    <w:p w14:paraId="5B19E137" w14:textId="40D49063" w:rsidR="009F762E" w:rsidRPr="00242DFB" w:rsidRDefault="00000000" w:rsidP="005B2285">
      <w:pPr>
        <w:pStyle w:val="Ttulo1"/>
        <w:numPr>
          <w:ilvl w:val="0"/>
          <w:numId w:val="7"/>
        </w:numPr>
        <w:spacing w:before="0" w:line="360" w:lineRule="auto"/>
        <w:jc w:val="both"/>
        <w:rPr>
          <w:rFonts w:ascii="Arial" w:eastAsia="Arial" w:hAnsi="Arial" w:cs="Arial"/>
          <w:b/>
          <w:color w:val="000000" w:themeColor="text1"/>
          <w:sz w:val="24"/>
          <w:szCs w:val="24"/>
        </w:rPr>
      </w:pPr>
      <w:bookmarkStart w:id="78" w:name="__RefHeading___Toc8598_542869190"/>
      <w:bookmarkStart w:id="79" w:name="_Toc230853774"/>
      <w:bookmarkStart w:id="80" w:name="_Toc233574843"/>
      <w:bookmarkEnd w:id="78"/>
      <w:r w:rsidRPr="00242DFB">
        <w:rPr>
          <w:rFonts w:ascii="Arial" w:eastAsia="Arial" w:hAnsi="Arial" w:cs="Arial"/>
          <w:b/>
          <w:color w:val="000000"/>
          <w:sz w:val="24"/>
          <w:szCs w:val="24"/>
        </w:rPr>
        <w:t>RED PRESTADORA Y CAPACIDAD INSTALADA</w:t>
      </w:r>
      <w:bookmarkEnd w:id="79"/>
      <w:bookmarkEnd w:id="80"/>
    </w:p>
    <w:p w14:paraId="0AE1DBDE" w14:textId="77777777" w:rsidR="009F762E" w:rsidRPr="00242DFB" w:rsidRDefault="009F762E" w:rsidP="005B2285">
      <w:pPr>
        <w:spacing w:line="360" w:lineRule="auto"/>
        <w:jc w:val="both"/>
        <w:rPr>
          <w:rFonts w:ascii="Arial" w:eastAsia="Arial" w:hAnsi="Arial" w:cs="Arial"/>
          <w:color w:val="000000" w:themeColor="text1"/>
        </w:rPr>
      </w:pPr>
    </w:p>
    <w:p w14:paraId="15BC81CF" w14:textId="530D2152" w:rsidR="009F762E" w:rsidRPr="00242DFB" w:rsidRDefault="00000000" w:rsidP="005B2285">
      <w:pPr>
        <w:pStyle w:val="Ttulo2"/>
        <w:numPr>
          <w:ilvl w:val="1"/>
          <w:numId w:val="7"/>
        </w:numPr>
        <w:spacing w:before="0" w:line="360" w:lineRule="auto"/>
        <w:jc w:val="both"/>
        <w:rPr>
          <w:rFonts w:ascii="Arial" w:eastAsia="Arial" w:hAnsi="Arial" w:cs="Arial"/>
          <w:b/>
          <w:bCs/>
          <w:color w:val="000000" w:themeColor="text1"/>
          <w:sz w:val="24"/>
          <w:szCs w:val="24"/>
        </w:rPr>
      </w:pPr>
      <w:bookmarkStart w:id="81" w:name="__RefHeading___Toc8600_542869190"/>
      <w:bookmarkEnd w:id="81"/>
      <w:r w:rsidRPr="00242DFB">
        <w:rPr>
          <w:rFonts w:ascii="Arial" w:hAnsi="Arial" w:cs="Arial"/>
          <w:b/>
          <w:bCs/>
          <w:color w:val="000000"/>
          <w:sz w:val="24"/>
          <w:szCs w:val="24"/>
        </w:rPr>
        <w:t xml:space="preserve"> </w:t>
      </w:r>
      <w:bookmarkStart w:id="82" w:name="_Toc233574844"/>
      <w:r w:rsidRPr="00242DFB">
        <w:rPr>
          <w:rFonts w:ascii="Arial" w:hAnsi="Arial" w:cs="Arial"/>
          <w:b/>
          <w:bCs/>
          <w:color w:val="000000"/>
          <w:sz w:val="24"/>
          <w:szCs w:val="24"/>
        </w:rPr>
        <w:t xml:space="preserve">Análisis Capital Salud </w:t>
      </w:r>
      <w:r w:rsidR="00FE016F" w:rsidRPr="00242DFB">
        <w:rPr>
          <w:rFonts w:ascii="Arial" w:hAnsi="Arial" w:cs="Arial"/>
          <w:b/>
          <w:bCs/>
          <w:color w:val="000000"/>
          <w:sz w:val="24"/>
          <w:szCs w:val="24"/>
        </w:rPr>
        <w:t>Vs</w:t>
      </w:r>
      <w:r w:rsidRPr="00242DFB">
        <w:rPr>
          <w:rFonts w:ascii="Arial" w:hAnsi="Arial" w:cs="Arial"/>
          <w:b/>
          <w:bCs/>
          <w:color w:val="000000"/>
          <w:sz w:val="24"/>
          <w:szCs w:val="24"/>
        </w:rPr>
        <w:t>. Grupo de atención y monitoreo en salud – GAMA</w:t>
      </w:r>
      <w:r w:rsidR="00FE016F" w:rsidRPr="00242DFB">
        <w:rPr>
          <w:rStyle w:val="Refdenotaalpie"/>
          <w:rFonts w:ascii="Arial" w:hAnsi="Arial" w:cs="Arial"/>
          <w:b/>
          <w:bCs/>
          <w:color w:val="000000"/>
          <w:sz w:val="24"/>
          <w:szCs w:val="24"/>
        </w:rPr>
        <w:footnoteReference w:id="10"/>
      </w:r>
      <w:r w:rsidR="00FE016F" w:rsidRPr="00242DFB">
        <w:rPr>
          <w:rFonts w:ascii="Arial" w:hAnsi="Arial" w:cs="Arial"/>
          <w:b/>
          <w:bCs/>
          <w:color w:val="000000"/>
          <w:sz w:val="24"/>
          <w:szCs w:val="24"/>
        </w:rPr>
        <w:t xml:space="preserve"> </w:t>
      </w:r>
      <w:r w:rsidRPr="00242DFB">
        <w:rPr>
          <w:rFonts w:ascii="Arial" w:hAnsi="Arial" w:cs="Arial"/>
          <w:b/>
          <w:bCs/>
          <w:color w:val="000000"/>
          <w:sz w:val="24"/>
          <w:szCs w:val="24"/>
        </w:rPr>
        <w:t>Secretaría Distrital de Salud – Red Prestadora</w:t>
      </w:r>
      <w:bookmarkEnd w:id="82"/>
      <w:r w:rsidRPr="00242DFB">
        <w:rPr>
          <w:rFonts w:ascii="Arial" w:hAnsi="Arial" w:cs="Arial"/>
          <w:b/>
          <w:bCs/>
          <w:color w:val="000000"/>
          <w:sz w:val="24"/>
          <w:szCs w:val="24"/>
        </w:rPr>
        <w:t xml:space="preserve"> </w:t>
      </w:r>
    </w:p>
    <w:p w14:paraId="7BCC917A" w14:textId="77777777" w:rsidR="009F762E" w:rsidRPr="00242DFB" w:rsidRDefault="009F762E" w:rsidP="005B2285">
      <w:pPr>
        <w:spacing w:line="360" w:lineRule="auto"/>
        <w:jc w:val="both"/>
        <w:rPr>
          <w:rFonts w:ascii="Arial" w:eastAsiaTheme="minorEastAsia" w:hAnsi="Arial" w:cs="Arial"/>
          <w:color w:val="000000" w:themeColor="text1"/>
        </w:rPr>
      </w:pPr>
    </w:p>
    <w:p w14:paraId="71F5E6C2" w14:textId="6BB9A3C8"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De acuerdo con los resultados del seguimiento por el Grupo de Atención y Monitoreo en Salud - GAMA de la Subdirección de Garantía del Aseguramiento, se validaron los casos reportados por las áreas de referencias de las IPS con inoportunidad en el trámite de referencia mayor a 24 horas. De un total de 8.955 casos detectados con </w:t>
      </w:r>
      <w:r w:rsidR="00D740ED" w:rsidRPr="00242DFB">
        <w:rPr>
          <w:rFonts w:ascii="Arial" w:eastAsia="Arial" w:hAnsi="Arial" w:cs="Arial"/>
          <w:color w:val="000000"/>
        </w:rPr>
        <w:t>problemas</w:t>
      </w:r>
      <w:r w:rsidRPr="00242DFB">
        <w:rPr>
          <w:rFonts w:ascii="Arial" w:eastAsia="Arial" w:hAnsi="Arial" w:cs="Arial"/>
          <w:color w:val="000000"/>
        </w:rPr>
        <w:t xml:space="preserve"> de traslados, interconsultas y remisiones 1.079 (12%) corresponden a usuarios afiliados a Capital Salud EPS.</w:t>
      </w:r>
    </w:p>
    <w:p w14:paraId="57068470" w14:textId="66AFC0F1" w:rsidR="009F762E" w:rsidRPr="00242DFB" w:rsidRDefault="009F762E" w:rsidP="005B2285">
      <w:pPr>
        <w:spacing w:line="360" w:lineRule="auto"/>
        <w:jc w:val="center"/>
        <w:rPr>
          <w:rFonts w:ascii="Arial" w:eastAsia="Arial" w:hAnsi="Arial" w:cs="Arial"/>
          <w:color w:val="000000" w:themeColor="text1"/>
        </w:rPr>
      </w:pPr>
    </w:p>
    <w:p w14:paraId="175D0730" w14:textId="0734667F" w:rsidR="00173427" w:rsidRPr="00242DFB" w:rsidRDefault="00173427" w:rsidP="005B2285">
      <w:pPr>
        <w:pStyle w:val="Descripcin"/>
        <w:keepNext/>
        <w:spacing w:after="0"/>
        <w:jc w:val="center"/>
        <w:rPr>
          <w:rFonts w:ascii="Arial" w:hAnsi="Arial" w:cs="Arial"/>
          <w:color w:val="000000" w:themeColor="text1"/>
          <w:sz w:val="24"/>
          <w:szCs w:val="24"/>
        </w:rPr>
      </w:pPr>
      <w:bookmarkStart w:id="83" w:name="_Toc233574875"/>
      <w:r w:rsidRPr="00242DFB">
        <w:rPr>
          <w:rFonts w:ascii="Arial" w:hAnsi="Arial" w:cs="Arial"/>
          <w:color w:val="000000" w:themeColor="text1"/>
          <w:sz w:val="24"/>
          <w:szCs w:val="24"/>
        </w:rPr>
        <w:lastRenderedPageBreak/>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15</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Distribución porcentual de casos con inoportunidad en procesos de referencia por asegurador e IPS objeto de seguimiento</w:t>
      </w:r>
      <w:bookmarkEnd w:id="83"/>
    </w:p>
    <w:tbl>
      <w:tblPr>
        <w:tblStyle w:val="Tablaconcuadrcula"/>
        <w:tblW w:w="6509" w:type="dxa"/>
        <w:jc w:val="center"/>
        <w:tblLayout w:type="fixed"/>
        <w:tblLook w:val="04A0" w:firstRow="1" w:lastRow="0" w:firstColumn="1" w:lastColumn="0" w:noHBand="0" w:noVBand="1"/>
      </w:tblPr>
      <w:tblGrid>
        <w:gridCol w:w="661"/>
        <w:gridCol w:w="2714"/>
        <w:gridCol w:w="1305"/>
        <w:gridCol w:w="1829"/>
      </w:tblGrid>
      <w:tr w:rsidR="009F762E" w:rsidRPr="00242DFB" w14:paraId="47002BA8" w14:textId="77777777" w:rsidTr="00F8409D">
        <w:trPr>
          <w:cantSplit/>
          <w:trHeight w:val="315"/>
          <w:jc w:val="center"/>
        </w:trPr>
        <w:tc>
          <w:tcPr>
            <w:tcW w:w="661" w:type="dxa"/>
            <w:vAlign w:val="center"/>
          </w:tcPr>
          <w:p w14:paraId="3013B2ED" w14:textId="77777777" w:rsidR="009F762E" w:rsidRPr="00242DFB" w:rsidRDefault="00000000" w:rsidP="005B2285">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No.</w:t>
            </w:r>
          </w:p>
        </w:tc>
        <w:tc>
          <w:tcPr>
            <w:tcW w:w="2714" w:type="dxa"/>
            <w:vAlign w:val="center"/>
          </w:tcPr>
          <w:p w14:paraId="7EC40529" w14:textId="77777777" w:rsidR="009F762E" w:rsidRPr="00242DFB" w:rsidRDefault="00000000" w:rsidP="005B2285">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EAPB</w:t>
            </w:r>
          </w:p>
        </w:tc>
        <w:tc>
          <w:tcPr>
            <w:tcW w:w="1305" w:type="dxa"/>
            <w:vAlign w:val="center"/>
          </w:tcPr>
          <w:p w14:paraId="4106F8A5" w14:textId="77777777" w:rsidR="009F762E" w:rsidRPr="00242DFB" w:rsidRDefault="00000000" w:rsidP="005B2285">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 xml:space="preserve">No. </w:t>
            </w:r>
            <w:r w:rsidRPr="00242DFB">
              <w:rPr>
                <w:rFonts w:ascii="Arial" w:eastAsia="Arial" w:hAnsi="Arial" w:cs="Arial"/>
                <w:b/>
                <w:bCs/>
                <w:color w:val="000000" w:themeColor="text1"/>
                <w:kern w:val="2"/>
              </w:rPr>
              <w:t>de Casos</w:t>
            </w:r>
          </w:p>
        </w:tc>
        <w:tc>
          <w:tcPr>
            <w:tcW w:w="1829" w:type="dxa"/>
            <w:vAlign w:val="center"/>
          </w:tcPr>
          <w:p w14:paraId="437DAA6F" w14:textId="77777777" w:rsidR="009F762E" w:rsidRPr="00242DFB" w:rsidRDefault="00000000" w:rsidP="005B2285">
            <w:pPr>
              <w:spacing w:line="360" w:lineRule="auto"/>
              <w:jc w:val="center"/>
              <w:rPr>
                <w:rFonts w:ascii="Arial" w:eastAsia="Arial" w:hAnsi="Arial" w:cs="Arial"/>
                <w:b/>
                <w:color w:val="000000" w:themeColor="text1"/>
              </w:rPr>
            </w:pPr>
            <w:r w:rsidRPr="00242DFB">
              <w:rPr>
                <w:rFonts w:ascii="Arial" w:eastAsia="Arial" w:hAnsi="Arial" w:cs="Arial"/>
                <w:b/>
                <w:bCs/>
                <w:color w:val="000000" w:themeColor="text1"/>
                <w:kern w:val="2"/>
              </w:rPr>
              <w:t>Porcentaje participación</w:t>
            </w:r>
          </w:p>
        </w:tc>
      </w:tr>
      <w:tr w:rsidR="009F762E" w:rsidRPr="00242DFB" w14:paraId="32AA9FEE" w14:textId="77777777" w:rsidTr="00F8409D">
        <w:trPr>
          <w:cantSplit/>
          <w:trHeight w:val="315"/>
          <w:jc w:val="center"/>
        </w:trPr>
        <w:tc>
          <w:tcPr>
            <w:tcW w:w="661" w:type="dxa"/>
            <w:vAlign w:val="center"/>
          </w:tcPr>
          <w:p w14:paraId="6C97A2DF"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w:t>
            </w:r>
          </w:p>
        </w:tc>
        <w:tc>
          <w:tcPr>
            <w:tcW w:w="2714" w:type="dxa"/>
            <w:vAlign w:val="center"/>
          </w:tcPr>
          <w:p w14:paraId="105032DC"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Nueva EPS</w:t>
            </w:r>
          </w:p>
        </w:tc>
        <w:tc>
          <w:tcPr>
            <w:tcW w:w="1305" w:type="dxa"/>
            <w:vAlign w:val="center"/>
          </w:tcPr>
          <w:p w14:paraId="6FBBE07C"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2.413</w:t>
            </w:r>
          </w:p>
        </w:tc>
        <w:tc>
          <w:tcPr>
            <w:tcW w:w="1829" w:type="dxa"/>
            <w:vAlign w:val="center"/>
          </w:tcPr>
          <w:p w14:paraId="159FE897"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26,9%</w:t>
            </w:r>
          </w:p>
        </w:tc>
      </w:tr>
      <w:tr w:rsidR="009F762E" w:rsidRPr="00242DFB" w14:paraId="7A0FA734" w14:textId="77777777" w:rsidTr="00F8409D">
        <w:trPr>
          <w:cantSplit/>
          <w:trHeight w:val="315"/>
          <w:jc w:val="center"/>
        </w:trPr>
        <w:tc>
          <w:tcPr>
            <w:tcW w:w="661" w:type="dxa"/>
            <w:vAlign w:val="center"/>
          </w:tcPr>
          <w:p w14:paraId="56C63458"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w:t>
            </w:r>
          </w:p>
        </w:tc>
        <w:tc>
          <w:tcPr>
            <w:tcW w:w="2714" w:type="dxa"/>
            <w:vAlign w:val="center"/>
          </w:tcPr>
          <w:p w14:paraId="0CD2E75E"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Famisanar EPS</w:t>
            </w:r>
          </w:p>
        </w:tc>
        <w:tc>
          <w:tcPr>
            <w:tcW w:w="1305" w:type="dxa"/>
            <w:vAlign w:val="center"/>
          </w:tcPr>
          <w:p w14:paraId="1202BAFF"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1.765</w:t>
            </w:r>
          </w:p>
        </w:tc>
        <w:tc>
          <w:tcPr>
            <w:tcW w:w="1829" w:type="dxa"/>
            <w:vAlign w:val="center"/>
          </w:tcPr>
          <w:p w14:paraId="0DCC84CF"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19,7%</w:t>
            </w:r>
          </w:p>
        </w:tc>
      </w:tr>
      <w:tr w:rsidR="009F762E" w:rsidRPr="00242DFB" w14:paraId="09673034" w14:textId="77777777" w:rsidTr="00F8409D">
        <w:trPr>
          <w:cantSplit/>
          <w:trHeight w:val="315"/>
          <w:jc w:val="center"/>
        </w:trPr>
        <w:tc>
          <w:tcPr>
            <w:tcW w:w="661" w:type="dxa"/>
            <w:vAlign w:val="center"/>
          </w:tcPr>
          <w:p w14:paraId="458E63F6"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w:t>
            </w:r>
          </w:p>
        </w:tc>
        <w:tc>
          <w:tcPr>
            <w:tcW w:w="2714" w:type="dxa"/>
            <w:vAlign w:val="center"/>
          </w:tcPr>
          <w:p w14:paraId="029DA7C4"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Compensar EPS</w:t>
            </w:r>
          </w:p>
        </w:tc>
        <w:tc>
          <w:tcPr>
            <w:tcW w:w="1305" w:type="dxa"/>
            <w:vAlign w:val="center"/>
          </w:tcPr>
          <w:p w14:paraId="7539C40B"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1.109</w:t>
            </w:r>
          </w:p>
        </w:tc>
        <w:tc>
          <w:tcPr>
            <w:tcW w:w="1829" w:type="dxa"/>
            <w:vAlign w:val="center"/>
          </w:tcPr>
          <w:p w14:paraId="4422E2E4"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12,4%</w:t>
            </w:r>
          </w:p>
        </w:tc>
      </w:tr>
      <w:tr w:rsidR="009F762E" w:rsidRPr="00242DFB" w14:paraId="3D0C156C" w14:textId="77777777" w:rsidTr="00755F24">
        <w:trPr>
          <w:cantSplit/>
          <w:trHeight w:val="315"/>
          <w:jc w:val="center"/>
        </w:trPr>
        <w:tc>
          <w:tcPr>
            <w:tcW w:w="661" w:type="dxa"/>
            <w:shd w:val="clear" w:color="auto" w:fill="FBE4D5" w:themeFill="accent2" w:themeFillTint="33"/>
            <w:vAlign w:val="center"/>
          </w:tcPr>
          <w:p w14:paraId="56B0F988" w14:textId="77777777" w:rsidR="009F762E" w:rsidRPr="00242DFB" w:rsidRDefault="00000000" w:rsidP="005B2285">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4</w:t>
            </w:r>
          </w:p>
        </w:tc>
        <w:tc>
          <w:tcPr>
            <w:tcW w:w="2714" w:type="dxa"/>
            <w:shd w:val="clear" w:color="auto" w:fill="FBE4D5" w:themeFill="accent2" w:themeFillTint="33"/>
            <w:vAlign w:val="center"/>
          </w:tcPr>
          <w:p w14:paraId="5E61AA8D" w14:textId="77777777" w:rsidR="009F762E" w:rsidRPr="00242DFB" w:rsidRDefault="00000000" w:rsidP="005B2285">
            <w:pPr>
              <w:spacing w:line="360" w:lineRule="auto"/>
              <w:rPr>
                <w:rFonts w:ascii="Arial" w:eastAsia="Arial" w:hAnsi="Arial" w:cs="Arial"/>
                <w:b/>
                <w:color w:val="000000" w:themeColor="text1"/>
              </w:rPr>
            </w:pPr>
            <w:r w:rsidRPr="00242DFB">
              <w:rPr>
                <w:rFonts w:ascii="Arial" w:eastAsia="Arial" w:hAnsi="Arial" w:cs="Arial"/>
                <w:b/>
                <w:bCs/>
                <w:color w:val="000000" w:themeColor="text1"/>
                <w:kern w:val="2"/>
              </w:rPr>
              <w:t>Capital Salud EPS</w:t>
            </w:r>
          </w:p>
        </w:tc>
        <w:tc>
          <w:tcPr>
            <w:tcW w:w="1305" w:type="dxa"/>
            <w:shd w:val="clear" w:color="auto" w:fill="FBE4D5" w:themeFill="accent2" w:themeFillTint="33"/>
            <w:vAlign w:val="center"/>
          </w:tcPr>
          <w:p w14:paraId="63D8BC63" w14:textId="77777777" w:rsidR="009F762E" w:rsidRPr="00242DFB" w:rsidRDefault="00000000" w:rsidP="005B2285">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1.079</w:t>
            </w:r>
          </w:p>
        </w:tc>
        <w:tc>
          <w:tcPr>
            <w:tcW w:w="1829" w:type="dxa"/>
            <w:shd w:val="clear" w:color="auto" w:fill="FBE4D5" w:themeFill="accent2" w:themeFillTint="33"/>
            <w:vAlign w:val="center"/>
          </w:tcPr>
          <w:p w14:paraId="0CC001A7" w14:textId="77777777" w:rsidR="009F762E" w:rsidRPr="00242DFB" w:rsidRDefault="00000000" w:rsidP="005B2285">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12,0%</w:t>
            </w:r>
          </w:p>
        </w:tc>
      </w:tr>
      <w:tr w:rsidR="009F762E" w:rsidRPr="00242DFB" w14:paraId="61828B69" w14:textId="77777777" w:rsidTr="00F8409D">
        <w:trPr>
          <w:cantSplit/>
          <w:trHeight w:val="315"/>
          <w:jc w:val="center"/>
        </w:trPr>
        <w:tc>
          <w:tcPr>
            <w:tcW w:w="661" w:type="dxa"/>
            <w:vAlign w:val="center"/>
          </w:tcPr>
          <w:p w14:paraId="139E9B17"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5</w:t>
            </w:r>
          </w:p>
        </w:tc>
        <w:tc>
          <w:tcPr>
            <w:tcW w:w="2714" w:type="dxa"/>
            <w:vAlign w:val="center"/>
          </w:tcPr>
          <w:p w14:paraId="46B08670"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Sanitas EPS</w:t>
            </w:r>
          </w:p>
        </w:tc>
        <w:tc>
          <w:tcPr>
            <w:tcW w:w="1305" w:type="dxa"/>
            <w:vAlign w:val="center"/>
          </w:tcPr>
          <w:p w14:paraId="7D2262A8"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962</w:t>
            </w:r>
          </w:p>
        </w:tc>
        <w:tc>
          <w:tcPr>
            <w:tcW w:w="1829" w:type="dxa"/>
            <w:vAlign w:val="center"/>
          </w:tcPr>
          <w:p w14:paraId="2B2FBD6B"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10,7%</w:t>
            </w:r>
          </w:p>
        </w:tc>
      </w:tr>
      <w:tr w:rsidR="009F762E" w:rsidRPr="00242DFB" w14:paraId="0BEBE8E0" w14:textId="77777777" w:rsidTr="00F8409D">
        <w:trPr>
          <w:cantSplit/>
          <w:trHeight w:val="315"/>
          <w:jc w:val="center"/>
        </w:trPr>
        <w:tc>
          <w:tcPr>
            <w:tcW w:w="661" w:type="dxa"/>
            <w:vAlign w:val="center"/>
          </w:tcPr>
          <w:p w14:paraId="682B174E"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6</w:t>
            </w:r>
          </w:p>
        </w:tc>
        <w:tc>
          <w:tcPr>
            <w:tcW w:w="2714" w:type="dxa"/>
            <w:vAlign w:val="center"/>
          </w:tcPr>
          <w:p w14:paraId="5829F535"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Salud Total EPS</w:t>
            </w:r>
          </w:p>
        </w:tc>
        <w:tc>
          <w:tcPr>
            <w:tcW w:w="1305" w:type="dxa"/>
            <w:vAlign w:val="center"/>
          </w:tcPr>
          <w:p w14:paraId="5CB0E558"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415</w:t>
            </w:r>
          </w:p>
        </w:tc>
        <w:tc>
          <w:tcPr>
            <w:tcW w:w="1829" w:type="dxa"/>
            <w:vAlign w:val="center"/>
          </w:tcPr>
          <w:p w14:paraId="095B3AD0"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4,6%</w:t>
            </w:r>
          </w:p>
        </w:tc>
      </w:tr>
      <w:tr w:rsidR="009F762E" w:rsidRPr="00242DFB" w14:paraId="3711D655" w14:textId="77777777" w:rsidTr="00F8409D">
        <w:trPr>
          <w:cantSplit/>
          <w:trHeight w:val="315"/>
          <w:jc w:val="center"/>
        </w:trPr>
        <w:tc>
          <w:tcPr>
            <w:tcW w:w="661" w:type="dxa"/>
            <w:vAlign w:val="center"/>
          </w:tcPr>
          <w:p w14:paraId="74518C66"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7</w:t>
            </w:r>
          </w:p>
        </w:tc>
        <w:tc>
          <w:tcPr>
            <w:tcW w:w="2714" w:type="dxa"/>
            <w:vAlign w:val="center"/>
          </w:tcPr>
          <w:p w14:paraId="778419A4"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Sura EPS</w:t>
            </w:r>
          </w:p>
        </w:tc>
        <w:tc>
          <w:tcPr>
            <w:tcW w:w="1305" w:type="dxa"/>
            <w:vAlign w:val="center"/>
          </w:tcPr>
          <w:p w14:paraId="21D89AB2"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260</w:t>
            </w:r>
          </w:p>
        </w:tc>
        <w:tc>
          <w:tcPr>
            <w:tcW w:w="1829" w:type="dxa"/>
            <w:vAlign w:val="center"/>
          </w:tcPr>
          <w:p w14:paraId="0DB36AB8"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2,9%</w:t>
            </w:r>
          </w:p>
        </w:tc>
      </w:tr>
      <w:tr w:rsidR="009F762E" w:rsidRPr="00242DFB" w14:paraId="445D806C" w14:textId="77777777" w:rsidTr="00F8409D">
        <w:trPr>
          <w:cantSplit/>
          <w:trHeight w:val="315"/>
          <w:jc w:val="center"/>
        </w:trPr>
        <w:tc>
          <w:tcPr>
            <w:tcW w:w="661" w:type="dxa"/>
            <w:vAlign w:val="center"/>
          </w:tcPr>
          <w:p w14:paraId="42584B47"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w:t>
            </w:r>
          </w:p>
        </w:tc>
        <w:tc>
          <w:tcPr>
            <w:tcW w:w="2714" w:type="dxa"/>
            <w:vAlign w:val="center"/>
          </w:tcPr>
          <w:p w14:paraId="504CB8CF" w14:textId="77777777" w:rsidR="009F762E" w:rsidRPr="00242DFB" w:rsidRDefault="00000000" w:rsidP="00F8409D">
            <w:pPr>
              <w:spacing w:line="360" w:lineRule="auto"/>
              <w:rPr>
                <w:rFonts w:ascii="Arial" w:eastAsia="Arial" w:hAnsi="Arial" w:cs="Arial"/>
                <w:color w:val="000000" w:themeColor="text1"/>
              </w:rPr>
            </w:pPr>
            <w:r w:rsidRPr="00242DFB">
              <w:rPr>
                <w:rFonts w:ascii="Arial" w:eastAsia="Arial" w:hAnsi="Arial" w:cs="Arial"/>
                <w:color w:val="000000" w:themeColor="text1"/>
                <w:kern w:val="2"/>
              </w:rPr>
              <w:t>Coosalud EPS</w:t>
            </w:r>
          </w:p>
        </w:tc>
        <w:tc>
          <w:tcPr>
            <w:tcW w:w="1305" w:type="dxa"/>
            <w:vAlign w:val="center"/>
          </w:tcPr>
          <w:p w14:paraId="2A5ACB1F"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199</w:t>
            </w:r>
          </w:p>
        </w:tc>
        <w:tc>
          <w:tcPr>
            <w:tcW w:w="1829" w:type="dxa"/>
            <w:vAlign w:val="center"/>
          </w:tcPr>
          <w:p w14:paraId="782F29A4"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2,2%</w:t>
            </w:r>
          </w:p>
        </w:tc>
      </w:tr>
      <w:tr w:rsidR="009F762E" w:rsidRPr="00242DFB" w14:paraId="0BEA05DC" w14:textId="77777777" w:rsidTr="00F8409D">
        <w:trPr>
          <w:cantSplit/>
          <w:trHeight w:val="315"/>
          <w:jc w:val="center"/>
        </w:trPr>
        <w:tc>
          <w:tcPr>
            <w:tcW w:w="661" w:type="dxa"/>
            <w:vAlign w:val="center"/>
          </w:tcPr>
          <w:p w14:paraId="52149536"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w:t>
            </w:r>
          </w:p>
        </w:tc>
        <w:tc>
          <w:tcPr>
            <w:tcW w:w="2714" w:type="dxa"/>
            <w:vAlign w:val="center"/>
          </w:tcPr>
          <w:p w14:paraId="7AAD1A9F" w14:textId="77777777" w:rsidR="009F762E" w:rsidRPr="00242DFB" w:rsidRDefault="00000000" w:rsidP="00F8409D">
            <w:pPr>
              <w:spacing w:line="360" w:lineRule="auto"/>
              <w:rPr>
                <w:rFonts w:ascii="Arial" w:eastAsia="Arial" w:hAnsi="Arial" w:cs="Arial"/>
                <w:color w:val="000000" w:themeColor="text1"/>
              </w:rPr>
            </w:pPr>
            <w:r w:rsidRPr="00242DFB">
              <w:rPr>
                <w:rFonts w:ascii="Arial" w:eastAsia="Arial" w:hAnsi="Arial" w:cs="Arial"/>
                <w:color w:val="000000" w:themeColor="text1"/>
                <w:kern w:val="2"/>
              </w:rPr>
              <w:t>FOMAG</w:t>
            </w:r>
          </w:p>
        </w:tc>
        <w:tc>
          <w:tcPr>
            <w:tcW w:w="1305" w:type="dxa"/>
            <w:vAlign w:val="center"/>
          </w:tcPr>
          <w:p w14:paraId="5DE33614"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138</w:t>
            </w:r>
          </w:p>
        </w:tc>
        <w:tc>
          <w:tcPr>
            <w:tcW w:w="1829" w:type="dxa"/>
            <w:vAlign w:val="center"/>
          </w:tcPr>
          <w:p w14:paraId="709E81E4"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kern w:val="2"/>
              </w:rPr>
              <w:t>1,5%</w:t>
            </w:r>
          </w:p>
        </w:tc>
      </w:tr>
      <w:tr w:rsidR="009F762E" w:rsidRPr="00242DFB" w14:paraId="1A075EDD" w14:textId="77777777" w:rsidTr="00F8409D">
        <w:trPr>
          <w:cantSplit/>
          <w:trHeight w:val="315"/>
          <w:jc w:val="center"/>
        </w:trPr>
        <w:tc>
          <w:tcPr>
            <w:tcW w:w="661" w:type="dxa"/>
            <w:vAlign w:val="center"/>
          </w:tcPr>
          <w:p w14:paraId="2BEF907B"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10</w:t>
            </w:r>
          </w:p>
        </w:tc>
        <w:tc>
          <w:tcPr>
            <w:tcW w:w="2714" w:type="dxa"/>
            <w:vAlign w:val="center"/>
          </w:tcPr>
          <w:p w14:paraId="20868412" w14:textId="1CBF2DC4" w:rsidR="009F762E" w:rsidRPr="00242DFB" w:rsidRDefault="00000000" w:rsidP="00F8409D">
            <w:pPr>
              <w:spacing w:line="360" w:lineRule="auto"/>
              <w:rPr>
                <w:rFonts w:ascii="Arial" w:eastAsia="Arial" w:hAnsi="Arial" w:cs="Arial"/>
                <w:color w:val="000000" w:themeColor="text1"/>
              </w:rPr>
            </w:pPr>
            <w:r w:rsidRPr="00242DFB">
              <w:rPr>
                <w:rFonts w:ascii="Arial" w:eastAsia="Arial" w:hAnsi="Arial" w:cs="Arial"/>
                <w:color w:val="000000" w:themeColor="text1"/>
                <w:kern w:val="2"/>
              </w:rPr>
              <w:t>FFD (</w:t>
            </w:r>
            <w:r w:rsidR="00F8409D" w:rsidRPr="00242DFB">
              <w:rPr>
                <w:rFonts w:ascii="Arial" w:eastAsia="Arial" w:hAnsi="Arial" w:cs="Arial"/>
                <w:color w:val="000000" w:themeColor="text1"/>
                <w:kern w:val="2"/>
              </w:rPr>
              <w:t>No asegurado</w:t>
            </w:r>
            <w:r w:rsidRPr="00242DFB">
              <w:rPr>
                <w:rFonts w:ascii="Arial" w:eastAsia="Arial" w:hAnsi="Arial" w:cs="Arial"/>
                <w:color w:val="000000" w:themeColor="text1"/>
                <w:kern w:val="2"/>
              </w:rPr>
              <w:t>)</w:t>
            </w:r>
          </w:p>
        </w:tc>
        <w:tc>
          <w:tcPr>
            <w:tcW w:w="1305" w:type="dxa"/>
            <w:vAlign w:val="center"/>
          </w:tcPr>
          <w:p w14:paraId="638561A8" w14:textId="77777777" w:rsidR="009F762E" w:rsidRPr="00242DFB" w:rsidRDefault="00000000" w:rsidP="00F8409D">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92</w:t>
            </w:r>
          </w:p>
        </w:tc>
        <w:tc>
          <w:tcPr>
            <w:tcW w:w="1829" w:type="dxa"/>
            <w:vAlign w:val="center"/>
          </w:tcPr>
          <w:p w14:paraId="0F004FF0" w14:textId="77777777" w:rsidR="009F762E" w:rsidRPr="00242DFB" w:rsidRDefault="00000000" w:rsidP="00F8409D">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1,0%</w:t>
            </w:r>
          </w:p>
        </w:tc>
      </w:tr>
      <w:tr w:rsidR="009F762E" w:rsidRPr="00242DFB" w14:paraId="38E6B1F7" w14:textId="77777777" w:rsidTr="00F8409D">
        <w:trPr>
          <w:cantSplit/>
          <w:trHeight w:val="315"/>
          <w:jc w:val="center"/>
        </w:trPr>
        <w:tc>
          <w:tcPr>
            <w:tcW w:w="661" w:type="dxa"/>
            <w:vAlign w:val="center"/>
          </w:tcPr>
          <w:p w14:paraId="27CF125D" w14:textId="4D84B7D2" w:rsidR="009F762E" w:rsidRPr="00242DFB" w:rsidRDefault="00F8409D" w:rsidP="005B2285">
            <w:pPr>
              <w:spacing w:line="360" w:lineRule="auto"/>
              <w:rPr>
                <w:rFonts w:ascii="Arial" w:eastAsia="Arial" w:hAnsi="Arial" w:cs="Arial"/>
                <w:color w:val="000000" w:themeColor="text1"/>
              </w:rPr>
            </w:pPr>
            <w:r>
              <w:rPr>
                <w:rFonts w:ascii="Arial" w:eastAsia="Arial" w:hAnsi="Arial" w:cs="Arial"/>
                <w:color w:val="000000" w:themeColor="text1"/>
              </w:rPr>
              <w:t>11</w:t>
            </w:r>
          </w:p>
        </w:tc>
        <w:tc>
          <w:tcPr>
            <w:tcW w:w="2714" w:type="dxa"/>
            <w:vAlign w:val="center"/>
          </w:tcPr>
          <w:p w14:paraId="4E00379A" w14:textId="64B4A275" w:rsidR="009F762E" w:rsidRPr="00242DFB" w:rsidRDefault="00F8409D" w:rsidP="00F8409D">
            <w:pPr>
              <w:spacing w:line="360" w:lineRule="auto"/>
              <w:rPr>
                <w:rFonts w:ascii="Arial" w:eastAsia="Arial" w:hAnsi="Arial" w:cs="Arial"/>
                <w:color w:val="000000" w:themeColor="text1"/>
              </w:rPr>
            </w:pPr>
            <w:r w:rsidRPr="00F8409D">
              <w:rPr>
                <w:rFonts w:ascii="Arial" w:eastAsia="Arial" w:hAnsi="Arial" w:cs="Arial"/>
                <w:color w:val="000000" w:themeColor="text1"/>
                <w:kern w:val="2"/>
              </w:rPr>
              <w:t>Otras EAPB</w:t>
            </w:r>
          </w:p>
        </w:tc>
        <w:tc>
          <w:tcPr>
            <w:tcW w:w="1305" w:type="dxa"/>
            <w:vAlign w:val="center"/>
          </w:tcPr>
          <w:p w14:paraId="7961E329" w14:textId="00C9561F" w:rsidR="009F762E" w:rsidRPr="00242DFB" w:rsidRDefault="00F8409D" w:rsidP="00F8409D">
            <w:pPr>
              <w:spacing w:line="360" w:lineRule="auto"/>
              <w:jc w:val="center"/>
              <w:rPr>
                <w:rFonts w:ascii="Arial" w:eastAsia="Arial" w:hAnsi="Arial" w:cs="Arial"/>
                <w:color w:val="000000" w:themeColor="text1"/>
              </w:rPr>
            </w:pPr>
            <w:r w:rsidRPr="00F8409D">
              <w:rPr>
                <w:rFonts w:ascii="Arial" w:eastAsia="Arial" w:hAnsi="Arial" w:cs="Arial"/>
                <w:color w:val="000000" w:themeColor="text1"/>
                <w:kern w:val="2"/>
              </w:rPr>
              <w:t>523</w:t>
            </w:r>
          </w:p>
        </w:tc>
        <w:tc>
          <w:tcPr>
            <w:tcW w:w="1829" w:type="dxa"/>
            <w:vAlign w:val="center"/>
          </w:tcPr>
          <w:p w14:paraId="3B54A264" w14:textId="6E70CE7F" w:rsidR="009F762E" w:rsidRPr="00242DFB" w:rsidRDefault="00F8409D" w:rsidP="00F8409D">
            <w:pPr>
              <w:spacing w:line="360" w:lineRule="auto"/>
              <w:jc w:val="center"/>
              <w:rPr>
                <w:rFonts w:ascii="Arial" w:eastAsia="Arial" w:hAnsi="Arial" w:cs="Arial"/>
                <w:color w:val="000000" w:themeColor="text1"/>
              </w:rPr>
            </w:pPr>
            <w:r>
              <w:rPr>
                <w:rFonts w:ascii="Arial" w:eastAsia="Arial" w:hAnsi="Arial" w:cs="Arial"/>
                <w:color w:val="000000" w:themeColor="text1"/>
              </w:rPr>
              <w:t>5,8%</w:t>
            </w:r>
          </w:p>
        </w:tc>
      </w:tr>
      <w:tr w:rsidR="009F762E" w:rsidRPr="00242DFB" w14:paraId="661CE691" w14:textId="77777777" w:rsidTr="00F8409D">
        <w:trPr>
          <w:cantSplit/>
          <w:trHeight w:val="315"/>
          <w:jc w:val="center"/>
        </w:trPr>
        <w:tc>
          <w:tcPr>
            <w:tcW w:w="661" w:type="dxa"/>
            <w:vAlign w:val="center"/>
          </w:tcPr>
          <w:p w14:paraId="05463031" w14:textId="77777777" w:rsidR="009F762E" w:rsidRPr="00242DFB" w:rsidRDefault="009F762E" w:rsidP="005B2285">
            <w:pPr>
              <w:spacing w:line="360" w:lineRule="auto"/>
              <w:rPr>
                <w:rFonts w:ascii="Arial" w:eastAsia="Arial" w:hAnsi="Arial" w:cs="Arial"/>
                <w:color w:val="000000" w:themeColor="text1"/>
              </w:rPr>
            </w:pPr>
          </w:p>
        </w:tc>
        <w:tc>
          <w:tcPr>
            <w:tcW w:w="2714" w:type="dxa"/>
            <w:vAlign w:val="center"/>
          </w:tcPr>
          <w:p w14:paraId="70B38B02" w14:textId="5AE7FAD8" w:rsidR="009F762E" w:rsidRPr="00242DFB" w:rsidRDefault="0023214B" w:rsidP="005B2285">
            <w:pPr>
              <w:spacing w:line="360" w:lineRule="auto"/>
              <w:rPr>
                <w:rFonts w:ascii="Arial" w:eastAsia="Arial" w:hAnsi="Arial" w:cs="Arial"/>
                <w:b/>
                <w:i/>
                <w:color w:val="000000" w:themeColor="text1"/>
              </w:rPr>
            </w:pPr>
            <w:r w:rsidRPr="00242DFB">
              <w:rPr>
                <w:rFonts w:ascii="Arial" w:eastAsia="Arial" w:hAnsi="Arial" w:cs="Arial"/>
                <w:b/>
                <w:i/>
                <w:color w:val="000000" w:themeColor="text1"/>
                <w:kern w:val="2"/>
              </w:rPr>
              <w:t>Total,</w:t>
            </w:r>
            <w:r w:rsidR="00000000" w:rsidRPr="00242DFB">
              <w:rPr>
                <w:rFonts w:ascii="Arial" w:eastAsia="Arial" w:hAnsi="Arial" w:cs="Arial"/>
                <w:b/>
                <w:i/>
                <w:color w:val="000000" w:themeColor="text1"/>
                <w:kern w:val="2"/>
              </w:rPr>
              <w:t xml:space="preserve"> casos</w:t>
            </w:r>
          </w:p>
        </w:tc>
        <w:tc>
          <w:tcPr>
            <w:tcW w:w="1305" w:type="dxa"/>
            <w:vAlign w:val="center"/>
          </w:tcPr>
          <w:p w14:paraId="32E8C94F" w14:textId="77777777" w:rsidR="009F762E" w:rsidRPr="00242DFB" w:rsidRDefault="00000000" w:rsidP="005B2285">
            <w:pPr>
              <w:spacing w:line="360" w:lineRule="auto"/>
              <w:jc w:val="center"/>
              <w:rPr>
                <w:rFonts w:ascii="Arial" w:eastAsia="Arial" w:hAnsi="Arial" w:cs="Arial"/>
                <w:b/>
                <w:i/>
                <w:color w:val="000000" w:themeColor="text1"/>
              </w:rPr>
            </w:pPr>
            <w:r w:rsidRPr="00242DFB">
              <w:rPr>
                <w:rFonts w:ascii="Arial" w:eastAsia="Arial" w:hAnsi="Arial" w:cs="Arial"/>
                <w:b/>
                <w:i/>
                <w:color w:val="000000" w:themeColor="text1"/>
                <w:kern w:val="2"/>
              </w:rPr>
              <w:t>8.955</w:t>
            </w:r>
          </w:p>
        </w:tc>
        <w:tc>
          <w:tcPr>
            <w:tcW w:w="1829" w:type="dxa"/>
            <w:vAlign w:val="center"/>
          </w:tcPr>
          <w:p w14:paraId="277F9FA9" w14:textId="77777777" w:rsidR="009F762E" w:rsidRPr="00242DFB" w:rsidRDefault="009F762E" w:rsidP="005B2285">
            <w:pPr>
              <w:spacing w:line="360" w:lineRule="auto"/>
              <w:rPr>
                <w:rFonts w:ascii="Arial" w:eastAsia="Arial" w:hAnsi="Arial" w:cs="Arial"/>
                <w:color w:val="000000" w:themeColor="text1"/>
              </w:rPr>
            </w:pPr>
          </w:p>
        </w:tc>
      </w:tr>
    </w:tbl>
    <w:p w14:paraId="7DC63026" w14:textId="77777777" w:rsidR="009F762E" w:rsidRPr="00242DFB" w:rsidRDefault="00000000" w:rsidP="005B2285">
      <w:pPr>
        <w:spacing w:line="360" w:lineRule="auto"/>
        <w:jc w:val="both"/>
        <w:rPr>
          <w:rFonts w:ascii="Arial" w:eastAsia="Arial" w:hAnsi="Arial" w:cs="Arial"/>
          <w:bCs/>
          <w:color w:val="000000" w:themeColor="text1"/>
          <w:sz w:val="16"/>
          <w:szCs w:val="16"/>
        </w:rPr>
      </w:pPr>
      <w:r w:rsidRPr="00242DFB">
        <w:rPr>
          <w:rFonts w:ascii="Arial" w:eastAsia="Arial" w:hAnsi="Arial" w:cs="Arial"/>
          <w:bCs/>
          <w:color w:val="000000"/>
          <w:sz w:val="16"/>
          <w:szCs w:val="16"/>
        </w:rPr>
        <w:t>Fuente: Seguimiento Reporte de Google Forms del Número de casos especiales detectados por GAMA (27/05/2025 - 31/01/2026)</w:t>
      </w:r>
    </w:p>
    <w:p w14:paraId="5C9FD3A0" w14:textId="77777777" w:rsidR="0023214B" w:rsidRPr="00242DFB" w:rsidRDefault="0023214B" w:rsidP="005B2285">
      <w:pPr>
        <w:spacing w:line="360" w:lineRule="auto"/>
        <w:jc w:val="both"/>
        <w:rPr>
          <w:rFonts w:ascii="Arial" w:hAnsi="Arial" w:cs="Arial"/>
          <w:color w:val="000000"/>
        </w:rPr>
      </w:pPr>
    </w:p>
    <w:p w14:paraId="37321C17" w14:textId="4BCD2990" w:rsidR="009F762E" w:rsidRPr="00242DFB" w:rsidRDefault="00000000" w:rsidP="005B2285">
      <w:pPr>
        <w:spacing w:line="360" w:lineRule="auto"/>
        <w:jc w:val="both"/>
        <w:rPr>
          <w:rFonts w:ascii="Arial" w:hAnsi="Arial" w:cs="Arial"/>
          <w:color w:val="000000" w:themeColor="text1"/>
        </w:rPr>
      </w:pPr>
      <w:r w:rsidRPr="00242DFB">
        <w:rPr>
          <w:rFonts w:ascii="Arial" w:hAnsi="Arial" w:cs="Arial"/>
          <w:color w:val="000000"/>
        </w:rPr>
        <w:t>De las IPS objeto de seguimiento por el grupo GAMA vs. la Instituciones prestadoras contratadas por Capital Salud EPS, se evidencia que el 81,</w:t>
      </w:r>
      <w:r w:rsidR="00630881">
        <w:rPr>
          <w:rFonts w:ascii="Arial" w:hAnsi="Arial" w:cs="Arial"/>
          <w:color w:val="000000"/>
        </w:rPr>
        <w:t>9</w:t>
      </w:r>
      <w:r w:rsidRPr="00242DFB">
        <w:rPr>
          <w:rFonts w:ascii="Arial" w:hAnsi="Arial" w:cs="Arial"/>
          <w:color w:val="000000"/>
        </w:rPr>
        <w:t>% corresponden a Instituciones Prestadoras que hacen parte de la red prestadora contratada por la EPS presentan inoportunidad en el acceso por no disponibilidad de cama</w:t>
      </w:r>
      <w:r w:rsidR="00D740ED">
        <w:rPr>
          <w:rStyle w:val="Refdenotaalpie"/>
          <w:rFonts w:ascii="Arial" w:hAnsi="Arial" w:cs="Arial"/>
          <w:color w:val="000000"/>
        </w:rPr>
        <w:footnoteReference w:id="11"/>
      </w:r>
      <w:r w:rsidRPr="00242DFB">
        <w:rPr>
          <w:rFonts w:ascii="Arial" w:hAnsi="Arial" w:cs="Arial"/>
          <w:color w:val="000000"/>
        </w:rPr>
        <w:t>.</w:t>
      </w:r>
    </w:p>
    <w:p w14:paraId="186C629E" w14:textId="77777777" w:rsidR="009F762E" w:rsidRPr="00242DFB" w:rsidRDefault="009F762E" w:rsidP="005B2285">
      <w:pPr>
        <w:spacing w:line="360" w:lineRule="auto"/>
        <w:jc w:val="both"/>
        <w:rPr>
          <w:rFonts w:ascii="Arial" w:eastAsia="Arial" w:hAnsi="Arial" w:cs="Arial"/>
          <w:color w:val="000000" w:themeColor="text1"/>
        </w:rPr>
      </w:pPr>
    </w:p>
    <w:p w14:paraId="77BDD5A2" w14:textId="54C72899" w:rsidR="0023214B" w:rsidRPr="00242DFB" w:rsidRDefault="0023214B" w:rsidP="005B2285">
      <w:pPr>
        <w:pStyle w:val="Descripcin"/>
        <w:keepNext/>
        <w:spacing w:after="0"/>
        <w:jc w:val="center"/>
        <w:rPr>
          <w:rFonts w:ascii="Arial" w:hAnsi="Arial" w:cs="Arial"/>
          <w:color w:val="000000" w:themeColor="text1"/>
          <w:sz w:val="24"/>
          <w:szCs w:val="24"/>
        </w:rPr>
      </w:pPr>
      <w:bookmarkStart w:id="84" w:name="_Toc233574876"/>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16</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Distribución porcentual de casos con inoportunidad en trámites de referencia en red contratada por Capital Salud EPS-S</w:t>
      </w:r>
      <w:bookmarkEnd w:id="84"/>
    </w:p>
    <w:tbl>
      <w:tblPr>
        <w:tblStyle w:val="Tablaconcuadrcula"/>
        <w:tblW w:w="8828" w:type="dxa"/>
        <w:tblLayout w:type="fixed"/>
        <w:tblLook w:val="04A0" w:firstRow="1" w:lastRow="0" w:firstColumn="1" w:lastColumn="0" w:noHBand="0" w:noVBand="1"/>
      </w:tblPr>
      <w:tblGrid>
        <w:gridCol w:w="4761"/>
        <w:gridCol w:w="2038"/>
        <w:gridCol w:w="2029"/>
      </w:tblGrid>
      <w:tr w:rsidR="009F762E" w:rsidRPr="00242DFB" w14:paraId="12FCAE3E" w14:textId="77777777" w:rsidTr="0023214B">
        <w:trPr>
          <w:cantSplit/>
          <w:trHeight w:val="450"/>
          <w:tblHeader/>
        </w:trPr>
        <w:tc>
          <w:tcPr>
            <w:tcW w:w="4761" w:type="dxa"/>
            <w:vAlign w:val="center"/>
          </w:tcPr>
          <w:p w14:paraId="2FD2B59F" w14:textId="77777777" w:rsidR="009F762E" w:rsidRPr="00242DFB" w:rsidRDefault="00000000" w:rsidP="005B2285">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IPS</w:t>
            </w:r>
          </w:p>
        </w:tc>
        <w:tc>
          <w:tcPr>
            <w:tcW w:w="2038" w:type="dxa"/>
            <w:vAlign w:val="center"/>
          </w:tcPr>
          <w:p w14:paraId="418E6A2E" w14:textId="584136EC" w:rsidR="009F762E" w:rsidRPr="00242DFB" w:rsidRDefault="0023214B" w:rsidP="005B2285">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Total,</w:t>
            </w:r>
            <w:r w:rsidR="00000000" w:rsidRPr="00242DFB">
              <w:rPr>
                <w:rFonts w:ascii="Arial" w:eastAsia="Arial" w:hAnsi="Arial" w:cs="Arial"/>
                <w:b/>
                <w:color w:val="000000" w:themeColor="text1"/>
                <w:kern w:val="2"/>
              </w:rPr>
              <w:t xml:space="preserve"> general</w:t>
            </w:r>
          </w:p>
        </w:tc>
        <w:tc>
          <w:tcPr>
            <w:tcW w:w="2029" w:type="dxa"/>
            <w:vAlign w:val="center"/>
          </w:tcPr>
          <w:p w14:paraId="0F8C4340" w14:textId="77777777" w:rsidR="009F762E" w:rsidRPr="00242DFB" w:rsidRDefault="00000000" w:rsidP="005B2285">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PORCENTAJE</w:t>
            </w:r>
          </w:p>
        </w:tc>
      </w:tr>
      <w:tr w:rsidR="009F762E" w:rsidRPr="00242DFB" w14:paraId="1CD2C32D" w14:textId="77777777" w:rsidTr="0023214B">
        <w:trPr>
          <w:cantSplit/>
          <w:trHeight w:val="315"/>
        </w:trPr>
        <w:tc>
          <w:tcPr>
            <w:tcW w:w="4761" w:type="dxa"/>
            <w:vAlign w:val="center"/>
          </w:tcPr>
          <w:p w14:paraId="02B538A6"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NORTE - USS Simón Bolívar</w:t>
            </w:r>
          </w:p>
        </w:tc>
        <w:tc>
          <w:tcPr>
            <w:tcW w:w="2038" w:type="dxa"/>
            <w:vAlign w:val="center"/>
          </w:tcPr>
          <w:p w14:paraId="7D4AEDA6"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246</w:t>
            </w:r>
          </w:p>
        </w:tc>
        <w:tc>
          <w:tcPr>
            <w:tcW w:w="2029" w:type="dxa"/>
            <w:vAlign w:val="center"/>
          </w:tcPr>
          <w:p w14:paraId="3E8C0619"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22,8%</w:t>
            </w:r>
          </w:p>
        </w:tc>
      </w:tr>
      <w:tr w:rsidR="009F762E" w:rsidRPr="00242DFB" w14:paraId="1E8798EC" w14:textId="77777777" w:rsidTr="0023214B">
        <w:trPr>
          <w:cantSplit/>
          <w:trHeight w:val="315"/>
        </w:trPr>
        <w:tc>
          <w:tcPr>
            <w:tcW w:w="4761" w:type="dxa"/>
            <w:vAlign w:val="center"/>
          </w:tcPr>
          <w:p w14:paraId="5C9663DF"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CENTRO ORIENTE - USS Santa Clara</w:t>
            </w:r>
          </w:p>
        </w:tc>
        <w:tc>
          <w:tcPr>
            <w:tcW w:w="2038" w:type="dxa"/>
            <w:vAlign w:val="center"/>
          </w:tcPr>
          <w:p w14:paraId="108249A4"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151</w:t>
            </w:r>
          </w:p>
        </w:tc>
        <w:tc>
          <w:tcPr>
            <w:tcW w:w="2029" w:type="dxa"/>
            <w:vAlign w:val="center"/>
          </w:tcPr>
          <w:p w14:paraId="714FD412"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14,0%</w:t>
            </w:r>
          </w:p>
        </w:tc>
      </w:tr>
      <w:tr w:rsidR="009F762E" w:rsidRPr="00242DFB" w14:paraId="63A46D28" w14:textId="77777777" w:rsidTr="0023214B">
        <w:trPr>
          <w:cantSplit/>
          <w:trHeight w:val="315"/>
        </w:trPr>
        <w:tc>
          <w:tcPr>
            <w:tcW w:w="4761" w:type="dxa"/>
            <w:vAlign w:val="center"/>
          </w:tcPr>
          <w:p w14:paraId="53025C3E"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lastRenderedPageBreak/>
              <w:t>SISS SUR - USS Meissen</w:t>
            </w:r>
          </w:p>
        </w:tc>
        <w:tc>
          <w:tcPr>
            <w:tcW w:w="2038" w:type="dxa"/>
            <w:vAlign w:val="center"/>
          </w:tcPr>
          <w:p w14:paraId="1C998D71"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111</w:t>
            </w:r>
          </w:p>
        </w:tc>
        <w:tc>
          <w:tcPr>
            <w:tcW w:w="2029" w:type="dxa"/>
            <w:vAlign w:val="center"/>
          </w:tcPr>
          <w:p w14:paraId="49D3F680"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10,3%</w:t>
            </w:r>
          </w:p>
        </w:tc>
      </w:tr>
      <w:tr w:rsidR="009F762E" w:rsidRPr="00242DFB" w14:paraId="18456B4E" w14:textId="77777777" w:rsidTr="0023214B">
        <w:trPr>
          <w:cantSplit/>
          <w:trHeight w:val="315"/>
        </w:trPr>
        <w:tc>
          <w:tcPr>
            <w:tcW w:w="4761" w:type="dxa"/>
            <w:vAlign w:val="center"/>
          </w:tcPr>
          <w:p w14:paraId="35FC7D82"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SUR OCCIDENTE - USS Kennedy</w:t>
            </w:r>
          </w:p>
        </w:tc>
        <w:tc>
          <w:tcPr>
            <w:tcW w:w="2038" w:type="dxa"/>
            <w:vAlign w:val="center"/>
          </w:tcPr>
          <w:p w14:paraId="3267C63C"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86</w:t>
            </w:r>
          </w:p>
        </w:tc>
        <w:tc>
          <w:tcPr>
            <w:tcW w:w="2029" w:type="dxa"/>
            <w:vAlign w:val="center"/>
          </w:tcPr>
          <w:p w14:paraId="522CB5C0"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8,0%</w:t>
            </w:r>
          </w:p>
        </w:tc>
      </w:tr>
      <w:tr w:rsidR="009F762E" w:rsidRPr="00242DFB" w14:paraId="150D38BF" w14:textId="77777777" w:rsidTr="0023214B">
        <w:trPr>
          <w:cantSplit/>
          <w:trHeight w:val="315"/>
        </w:trPr>
        <w:tc>
          <w:tcPr>
            <w:tcW w:w="4761" w:type="dxa"/>
            <w:vAlign w:val="center"/>
          </w:tcPr>
          <w:p w14:paraId="3A326009"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SUR - USS El Tunal</w:t>
            </w:r>
          </w:p>
        </w:tc>
        <w:tc>
          <w:tcPr>
            <w:tcW w:w="2038" w:type="dxa"/>
            <w:vAlign w:val="center"/>
          </w:tcPr>
          <w:p w14:paraId="399B04CC"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85</w:t>
            </w:r>
          </w:p>
        </w:tc>
        <w:tc>
          <w:tcPr>
            <w:tcW w:w="2029" w:type="dxa"/>
            <w:vAlign w:val="center"/>
          </w:tcPr>
          <w:p w14:paraId="0B13E38C"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7,9%</w:t>
            </w:r>
          </w:p>
        </w:tc>
      </w:tr>
      <w:tr w:rsidR="009F762E" w:rsidRPr="00242DFB" w14:paraId="348F487B" w14:textId="77777777" w:rsidTr="0023214B">
        <w:trPr>
          <w:cantSplit/>
          <w:trHeight w:val="315"/>
        </w:trPr>
        <w:tc>
          <w:tcPr>
            <w:tcW w:w="4761" w:type="dxa"/>
            <w:vAlign w:val="center"/>
          </w:tcPr>
          <w:p w14:paraId="3746A46B"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CENTRO ORIENTE - USS San Blas</w:t>
            </w:r>
          </w:p>
        </w:tc>
        <w:tc>
          <w:tcPr>
            <w:tcW w:w="2038" w:type="dxa"/>
            <w:vAlign w:val="center"/>
          </w:tcPr>
          <w:p w14:paraId="2C1E7D15"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52</w:t>
            </w:r>
          </w:p>
        </w:tc>
        <w:tc>
          <w:tcPr>
            <w:tcW w:w="2029" w:type="dxa"/>
            <w:vAlign w:val="center"/>
          </w:tcPr>
          <w:p w14:paraId="28B14ACC"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4,8%</w:t>
            </w:r>
          </w:p>
        </w:tc>
      </w:tr>
      <w:tr w:rsidR="009F762E" w:rsidRPr="00242DFB" w14:paraId="4DB24D26" w14:textId="77777777" w:rsidTr="0023214B">
        <w:trPr>
          <w:cantSplit/>
          <w:trHeight w:val="315"/>
        </w:trPr>
        <w:tc>
          <w:tcPr>
            <w:tcW w:w="4761" w:type="dxa"/>
            <w:vAlign w:val="center"/>
          </w:tcPr>
          <w:p w14:paraId="77DC5E63"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NORTE - USS Engativá</w:t>
            </w:r>
          </w:p>
        </w:tc>
        <w:tc>
          <w:tcPr>
            <w:tcW w:w="2038" w:type="dxa"/>
            <w:vAlign w:val="center"/>
          </w:tcPr>
          <w:p w14:paraId="5C1DF5A6"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49</w:t>
            </w:r>
          </w:p>
        </w:tc>
        <w:tc>
          <w:tcPr>
            <w:tcW w:w="2029" w:type="dxa"/>
            <w:vAlign w:val="center"/>
          </w:tcPr>
          <w:p w14:paraId="0465BA8C"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4,5%</w:t>
            </w:r>
          </w:p>
        </w:tc>
      </w:tr>
      <w:tr w:rsidR="009F762E" w:rsidRPr="00242DFB" w14:paraId="79ED4B01" w14:textId="77777777" w:rsidTr="0023214B">
        <w:trPr>
          <w:cantSplit/>
          <w:trHeight w:val="315"/>
        </w:trPr>
        <w:tc>
          <w:tcPr>
            <w:tcW w:w="4761" w:type="dxa"/>
            <w:vAlign w:val="center"/>
          </w:tcPr>
          <w:p w14:paraId="4C467ECD"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 xml:space="preserve">Sociedad de Cirugía de Bogotá Hospital de San José </w:t>
            </w:r>
          </w:p>
        </w:tc>
        <w:tc>
          <w:tcPr>
            <w:tcW w:w="2038" w:type="dxa"/>
            <w:vAlign w:val="center"/>
          </w:tcPr>
          <w:p w14:paraId="477B49B3"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37</w:t>
            </w:r>
          </w:p>
        </w:tc>
        <w:tc>
          <w:tcPr>
            <w:tcW w:w="2029" w:type="dxa"/>
            <w:vAlign w:val="center"/>
          </w:tcPr>
          <w:p w14:paraId="5FC73FF4"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3,4%</w:t>
            </w:r>
          </w:p>
        </w:tc>
      </w:tr>
      <w:tr w:rsidR="009F762E" w:rsidRPr="00242DFB" w14:paraId="2DA7B3D5" w14:textId="77777777" w:rsidTr="0023214B">
        <w:trPr>
          <w:cantSplit/>
          <w:trHeight w:val="315"/>
        </w:trPr>
        <w:tc>
          <w:tcPr>
            <w:tcW w:w="4761" w:type="dxa"/>
            <w:vAlign w:val="center"/>
          </w:tcPr>
          <w:p w14:paraId="1F635DA0"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 xml:space="preserve">Instituto Nacional de Cancerología </w:t>
            </w:r>
          </w:p>
        </w:tc>
        <w:tc>
          <w:tcPr>
            <w:tcW w:w="2038" w:type="dxa"/>
            <w:vAlign w:val="center"/>
          </w:tcPr>
          <w:p w14:paraId="420B8B22"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34</w:t>
            </w:r>
          </w:p>
        </w:tc>
        <w:tc>
          <w:tcPr>
            <w:tcW w:w="2029" w:type="dxa"/>
            <w:vAlign w:val="center"/>
          </w:tcPr>
          <w:p w14:paraId="4FE5602E"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3,1%</w:t>
            </w:r>
          </w:p>
        </w:tc>
      </w:tr>
      <w:tr w:rsidR="009F762E" w:rsidRPr="00242DFB" w14:paraId="0186679C" w14:textId="77777777" w:rsidTr="0023214B">
        <w:trPr>
          <w:cantSplit/>
          <w:trHeight w:val="315"/>
        </w:trPr>
        <w:tc>
          <w:tcPr>
            <w:tcW w:w="4761" w:type="dxa"/>
            <w:vAlign w:val="center"/>
          </w:tcPr>
          <w:p w14:paraId="15AAB42B"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SISS CENTRO ORIENTE - USS La Victoria</w:t>
            </w:r>
          </w:p>
        </w:tc>
        <w:tc>
          <w:tcPr>
            <w:tcW w:w="2038" w:type="dxa"/>
            <w:vAlign w:val="center"/>
          </w:tcPr>
          <w:p w14:paraId="50CE9B87"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34</w:t>
            </w:r>
          </w:p>
        </w:tc>
        <w:tc>
          <w:tcPr>
            <w:tcW w:w="2029" w:type="dxa"/>
            <w:vAlign w:val="center"/>
          </w:tcPr>
          <w:p w14:paraId="213175F1"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3,1%</w:t>
            </w:r>
          </w:p>
        </w:tc>
      </w:tr>
      <w:tr w:rsidR="009F762E" w:rsidRPr="00242DFB" w14:paraId="4D099DD5" w14:textId="77777777" w:rsidTr="0023214B">
        <w:trPr>
          <w:cantSplit/>
          <w:trHeight w:val="315"/>
        </w:trPr>
        <w:tc>
          <w:tcPr>
            <w:tcW w:w="4761" w:type="dxa"/>
            <w:vAlign w:val="center"/>
          </w:tcPr>
          <w:p w14:paraId="1C4182F9" w14:textId="77777777" w:rsidR="009F762E" w:rsidRPr="00242DFB" w:rsidRDefault="00000000" w:rsidP="005B2285">
            <w:pPr>
              <w:spacing w:line="360" w:lineRule="auto"/>
              <w:rPr>
                <w:rFonts w:ascii="Arial" w:eastAsia="Arial" w:hAnsi="Arial" w:cs="Arial"/>
                <w:b/>
                <w:color w:val="000000" w:themeColor="text1"/>
              </w:rPr>
            </w:pPr>
            <w:r w:rsidRPr="00242DFB">
              <w:rPr>
                <w:rFonts w:ascii="Arial" w:eastAsia="Arial" w:hAnsi="Arial" w:cs="Arial"/>
                <w:b/>
                <w:color w:val="000000" w:themeColor="text1"/>
                <w:kern w:val="2"/>
              </w:rPr>
              <w:t>Subtotal diez IPS con mayor participación</w:t>
            </w:r>
          </w:p>
        </w:tc>
        <w:tc>
          <w:tcPr>
            <w:tcW w:w="2038" w:type="dxa"/>
            <w:vAlign w:val="center"/>
          </w:tcPr>
          <w:p w14:paraId="184A3FE3"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hAnsi="Arial" w:cs="Arial"/>
                <w:kern w:val="2"/>
              </w:rPr>
              <w:t>885</w:t>
            </w:r>
          </w:p>
        </w:tc>
        <w:tc>
          <w:tcPr>
            <w:tcW w:w="2029" w:type="dxa"/>
            <w:vAlign w:val="center"/>
          </w:tcPr>
          <w:p w14:paraId="738193A2" w14:textId="6F6E2645"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b/>
                <w:color w:val="000000" w:themeColor="text1"/>
                <w:kern w:val="2"/>
              </w:rPr>
              <w:t>8</w:t>
            </w:r>
            <w:r w:rsidR="00630881">
              <w:rPr>
                <w:rFonts w:ascii="Arial" w:eastAsia="Arial" w:hAnsi="Arial" w:cs="Arial"/>
                <w:b/>
                <w:color w:val="000000" w:themeColor="text1"/>
                <w:kern w:val="2"/>
              </w:rPr>
              <w:t>1</w:t>
            </w:r>
            <w:r w:rsidRPr="00242DFB">
              <w:rPr>
                <w:rFonts w:ascii="Arial" w:eastAsia="Arial" w:hAnsi="Arial" w:cs="Arial"/>
                <w:b/>
                <w:color w:val="000000" w:themeColor="text1"/>
                <w:kern w:val="2"/>
              </w:rPr>
              <w:t>,</w:t>
            </w:r>
            <w:r w:rsidR="00630881">
              <w:rPr>
                <w:rFonts w:ascii="Arial" w:eastAsia="Arial" w:hAnsi="Arial" w:cs="Arial"/>
                <w:b/>
                <w:color w:val="000000" w:themeColor="text1"/>
                <w:kern w:val="2"/>
              </w:rPr>
              <w:t>9</w:t>
            </w:r>
            <w:r w:rsidRPr="00242DFB">
              <w:rPr>
                <w:rFonts w:ascii="Arial" w:eastAsia="Arial" w:hAnsi="Arial" w:cs="Arial"/>
                <w:b/>
                <w:color w:val="000000" w:themeColor="text1"/>
                <w:kern w:val="2"/>
              </w:rPr>
              <w:t>%</w:t>
            </w:r>
          </w:p>
        </w:tc>
      </w:tr>
    </w:tbl>
    <w:p w14:paraId="04F8CCE0" w14:textId="77777777" w:rsidR="009F762E" w:rsidRPr="00242DFB" w:rsidRDefault="00000000" w:rsidP="005B2285">
      <w:pPr>
        <w:spacing w:line="360" w:lineRule="auto"/>
        <w:jc w:val="both"/>
        <w:rPr>
          <w:rFonts w:ascii="Arial" w:hAnsi="Arial" w:cs="Arial"/>
          <w:color w:val="000000"/>
          <w:sz w:val="16"/>
          <w:szCs w:val="16"/>
        </w:rPr>
      </w:pPr>
      <w:r w:rsidRPr="00242DFB">
        <w:rPr>
          <w:rFonts w:ascii="Arial" w:hAnsi="Arial" w:cs="Arial"/>
          <w:color w:val="000000"/>
          <w:sz w:val="16"/>
          <w:szCs w:val="16"/>
        </w:rPr>
        <w:t xml:space="preserve">Fuente: Consolidado Número de casos especiales detectados por GAMA (27/05/2025 - 31/01/2026) vs. Cruce Matriz red prestadora reportada por Capital Salud EPS-S corte diciembre 2025. </w:t>
      </w:r>
    </w:p>
    <w:p w14:paraId="2972B617" w14:textId="77777777" w:rsidR="00890F98" w:rsidRPr="00242DFB" w:rsidRDefault="00890F98" w:rsidP="005B2285">
      <w:pPr>
        <w:spacing w:line="360" w:lineRule="auto"/>
        <w:jc w:val="both"/>
        <w:rPr>
          <w:rFonts w:ascii="Arial" w:eastAsia="Arial" w:hAnsi="Arial" w:cs="Arial"/>
          <w:b/>
          <w:color w:val="000000" w:themeColor="text1"/>
        </w:rPr>
      </w:pPr>
    </w:p>
    <w:p w14:paraId="57D84E58"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Ahora bien, el </w:t>
      </w:r>
      <w:r w:rsidRPr="00242DFB">
        <w:rPr>
          <w:rFonts w:ascii="Arial" w:eastAsia="Arial" w:hAnsi="Arial" w:cs="Arial"/>
          <w:b/>
          <w:bCs/>
          <w:color w:val="000000"/>
        </w:rPr>
        <w:t>4,7%</w:t>
      </w:r>
      <w:r w:rsidRPr="00242DFB">
        <w:rPr>
          <w:rFonts w:ascii="Arial" w:eastAsia="Arial" w:hAnsi="Arial" w:cs="Arial"/>
          <w:color w:val="000000"/>
        </w:rPr>
        <w:t xml:space="preserve"> corresponde a las Instituciones prestadoras que no hacen parte de la red prestadora adscrita a Capital Salud EPS, donde los usuarios objeto de seguimiento presentaron inoportunidad en los procesos de remisión y traslados. </w:t>
      </w:r>
    </w:p>
    <w:p w14:paraId="20425CD0" w14:textId="77777777" w:rsidR="009F762E" w:rsidRPr="00242DFB" w:rsidRDefault="009F762E" w:rsidP="005B2285">
      <w:pPr>
        <w:spacing w:line="360" w:lineRule="auto"/>
        <w:jc w:val="both"/>
        <w:rPr>
          <w:rFonts w:ascii="Arial" w:hAnsi="Arial" w:cs="Arial"/>
          <w:color w:val="000000" w:themeColor="text1"/>
        </w:rPr>
      </w:pPr>
    </w:p>
    <w:p w14:paraId="362A7105" w14:textId="5E114551" w:rsidR="00890F98" w:rsidRPr="00242DFB" w:rsidRDefault="00890F98" w:rsidP="005B2285">
      <w:pPr>
        <w:pStyle w:val="Descripcin"/>
        <w:keepNext/>
        <w:spacing w:after="0"/>
        <w:jc w:val="center"/>
        <w:rPr>
          <w:rFonts w:ascii="Arial" w:hAnsi="Arial" w:cs="Arial"/>
          <w:color w:val="000000" w:themeColor="text1"/>
          <w:sz w:val="24"/>
          <w:szCs w:val="24"/>
        </w:rPr>
      </w:pPr>
      <w:bookmarkStart w:id="85" w:name="_Toc233574877"/>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17</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Distribución porcentual de casos con inoportunidad en trámites de referencia en red no contratada por Capital Salud EPS-S</w:t>
      </w:r>
      <w:bookmarkEnd w:id="85"/>
    </w:p>
    <w:tbl>
      <w:tblPr>
        <w:tblStyle w:val="Tablaconcuadrcula"/>
        <w:tblW w:w="9634" w:type="dxa"/>
        <w:jc w:val="center"/>
        <w:tblLayout w:type="fixed"/>
        <w:tblLook w:val="04A0" w:firstRow="1" w:lastRow="0" w:firstColumn="1" w:lastColumn="0" w:noHBand="0" w:noVBand="1"/>
      </w:tblPr>
      <w:tblGrid>
        <w:gridCol w:w="3492"/>
        <w:gridCol w:w="2032"/>
        <w:gridCol w:w="1984"/>
        <w:gridCol w:w="2126"/>
      </w:tblGrid>
      <w:tr w:rsidR="009F762E" w:rsidRPr="00242DFB" w14:paraId="3F766D3A" w14:textId="77777777" w:rsidTr="00890F98">
        <w:trPr>
          <w:cantSplit/>
          <w:trHeight w:val="750"/>
          <w:tblHeader/>
          <w:jc w:val="center"/>
        </w:trPr>
        <w:tc>
          <w:tcPr>
            <w:tcW w:w="3492" w:type="dxa"/>
            <w:vAlign w:val="center"/>
          </w:tcPr>
          <w:p w14:paraId="761E0DC6" w14:textId="77777777" w:rsidR="009F762E" w:rsidRPr="00242DFB" w:rsidRDefault="00000000" w:rsidP="005B2285">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IPS</w:t>
            </w:r>
          </w:p>
        </w:tc>
        <w:tc>
          <w:tcPr>
            <w:tcW w:w="2032" w:type="dxa"/>
            <w:vAlign w:val="center"/>
          </w:tcPr>
          <w:p w14:paraId="7A034A87" w14:textId="77777777" w:rsidR="009F762E" w:rsidRPr="00242DFB" w:rsidRDefault="00000000" w:rsidP="005B2285">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 xml:space="preserve">CRUCE </w:t>
            </w:r>
          </w:p>
        </w:tc>
        <w:tc>
          <w:tcPr>
            <w:tcW w:w="1984" w:type="dxa"/>
            <w:vAlign w:val="center"/>
          </w:tcPr>
          <w:p w14:paraId="6B4F28EF" w14:textId="461770C7" w:rsidR="009F762E" w:rsidRPr="00242DFB" w:rsidRDefault="00FE016F" w:rsidP="005B2285">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Total,</w:t>
            </w:r>
            <w:r w:rsidR="00000000" w:rsidRPr="00242DFB">
              <w:rPr>
                <w:rFonts w:ascii="Arial" w:eastAsia="Arial" w:hAnsi="Arial" w:cs="Arial"/>
                <w:b/>
                <w:color w:val="000000" w:themeColor="text1"/>
                <w:kern w:val="2"/>
              </w:rPr>
              <w:t xml:space="preserve"> general</w:t>
            </w:r>
          </w:p>
        </w:tc>
        <w:tc>
          <w:tcPr>
            <w:tcW w:w="2126" w:type="dxa"/>
            <w:vAlign w:val="center"/>
          </w:tcPr>
          <w:p w14:paraId="56E23775" w14:textId="77777777" w:rsidR="009F762E" w:rsidRPr="00242DFB" w:rsidRDefault="00000000" w:rsidP="005B2285">
            <w:pPr>
              <w:spacing w:line="360" w:lineRule="auto"/>
              <w:jc w:val="center"/>
              <w:rPr>
                <w:rFonts w:ascii="Arial" w:eastAsia="Arial" w:hAnsi="Arial" w:cs="Arial"/>
                <w:b/>
                <w:color w:val="000000" w:themeColor="text1"/>
              </w:rPr>
            </w:pPr>
            <w:r w:rsidRPr="00242DFB">
              <w:rPr>
                <w:rFonts w:ascii="Arial" w:eastAsia="Arial" w:hAnsi="Arial" w:cs="Arial"/>
                <w:b/>
                <w:color w:val="000000" w:themeColor="text1"/>
                <w:kern w:val="2"/>
              </w:rPr>
              <w:t>PORCENTAJE</w:t>
            </w:r>
          </w:p>
        </w:tc>
      </w:tr>
      <w:tr w:rsidR="009F762E" w:rsidRPr="00242DFB" w14:paraId="48FC67A3" w14:textId="77777777" w:rsidTr="00890F98">
        <w:trPr>
          <w:cantSplit/>
          <w:trHeight w:val="300"/>
          <w:tblHeader/>
          <w:jc w:val="center"/>
        </w:trPr>
        <w:tc>
          <w:tcPr>
            <w:tcW w:w="3492" w:type="dxa"/>
            <w:vAlign w:val="center"/>
          </w:tcPr>
          <w:p w14:paraId="3D492F39"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 xml:space="preserve">Clínica Medical </w:t>
            </w:r>
          </w:p>
        </w:tc>
        <w:tc>
          <w:tcPr>
            <w:tcW w:w="2032" w:type="dxa"/>
            <w:vAlign w:val="center"/>
          </w:tcPr>
          <w:p w14:paraId="3BA57FCA"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No contratada</w:t>
            </w:r>
          </w:p>
        </w:tc>
        <w:tc>
          <w:tcPr>
            <w:tcW w:w="1984" w:type="dxa"/>
            <w:vAlign w:val="center"/>
          </w:tcPr>
          <w:p w14:paraId="5724394E"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22</w:t>
            </w:r>
          </w:p>
        </w:tc>
        <w:tc>
          <w:tcPr>
            <w:tcW w:w="2126" w:type="dxa"/>
            <w:vAlign w:val="center"/>
          </w:tcPr>
          <w:p w14:paraId="23B745C5"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2,0%</w:t>
            </w:r>
          </w:p>
        </w:tc>
      </w:tr>
      <w:tr w:rsidR="009F762E" w:rsidRPr="00242DFB" w14:paraId="098FE850" w14:textId="77777777" w:rsidTr="00890F98">
        <w:trPr>
          <w:cantSplit/>
          <w:trHeight w:val="300"/>
          <w:tblHeader/>
          <w:jc w:val="center"/>
        </w:trPr>
        <w:tc>
          <w:tcPr>
            <w:tcW w:w="3492" w:type="dxa"/>
            <w:vAlign w:val="center"/>
          </w:tcPr>
          <w:p w14:paraId="1620C696"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Fundación Abood Shaio</w:t>
            </w:r>
          </w:p>
        </w:tc>
        <w:tc>
          <w:tcPr>
            <w:tcW w:w="2032" w:type="dxa"/>
            <w:vAlign w:val="center"/>
          </w:tcPr>
          <w:p w14:paraId="026F3154"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No contratada</w:t>
            </w:r>
          </w:p>
        </w:tc>
        <w:tc>
          <w:tcPr>
            <w:tcW w:w="1984" w:type="dxa"/>
            <w:vAlign w:val="center"/>
          </w:tcPr>
          <w:p w14:paraId="7EC405E7"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w:t>
            </w:r>
          </w:p>
        </w:tc>
        <w:tc>
          <w:tcPr>
            <w:tcW w:w="2126" w:type="dxa"/>
            <w:vAlign w:val="center"/>
          </w:tcPr>
          <w:p w14:paraId="41237D6F"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0,7%</w:t>
            </w:r>
          </w:p>
        </w:tc>
      </w:tr>
      <w:tr w:rsidR="009F762E" w:rsidRPr="00242DFB" w14:paraId="1F7A38B9" w14:textId="77777777" w:rsidTr="00890F98">
        <w:trPr>
          <w:cantSplit/>
          <w:trHeight w:val="300"/>
          <w:tblHeader/>
          <w:jc w:val="center"/>
        </w:trPr>
        <w:tc>
          <w:tcPr>
            <w:tcW w:w="3492" w:type="dxa"/>
            <w:vAlign w:val="center"/>
          </w:tcPr>
          <w:p w14:paraId="70D0087F"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Hospital Universitario Mayor-Méderi</w:t>
            </w:r>
          </w:p>
        </w:tc>
        <w:tc>
          <w:tcPr>
            <w:tcW w:w="2032" w:type="dxa"/>
            <w:vAlign w:val="center"/>
          </w:tcPr>
          <w:p w14:paraId="77E2DC41"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No contratada</w:t>
            </w:r>
          </w:p>
        </w:tc>
        <w:tc>
          <w:tcPr>
            <w:tcW w:w="1984" w:type="dxa"/>
            <w:vAlign w:val="center"/>
          </w:tcPr>
          <w:p w14:paraId="5528AE03"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8</w:t>
            </w:r>
          </w:p>
        </w:tc>
        <w:tc>
          <w:tcPr>
            <w:tcW w:w="2126" w:type="dxa"/>
            <w:vAlign w:val="center"/>
          </w:tcPr>
          <w:p w14:paraId="14A8816F"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0,7%</w:t>
            </w:r>
          </w:p>
        </w:tc>
      </w:tr>
      <w:tr w:rsidR="009F762E" w:rsidRPr="00242DFB" w14:paraId="2AB02E66" w14:textId="77777777" w:rsidTr="00890F98">
        <w:trPr>
          <w:cantSplit/>
          <w:trHeight w:val="300"/>
          <w:tblHeader/>
          <w:jc w:val="center"/>
        </w:trPr>
        <w:tc>
          <w:tcPr>
            <w:tcW w:w="3492" w:type="dxa"/>
            <w:vAlign w:val="center"/>
          </w:tcPr>
          <w:p w14:paraId="2EDEC9EE"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Fundación Santafé de Bogotá</w:t>
            </w:r>
          </w:p>
        </w:tc>
        <w:tc>
          <w:tcPr>
            <w:tcW w:w="2032" w:type="dxa"/>
            <w:vAlign w:val="center"/>
          </w:tcPr>
          <w:p w14:paraId="33F57632"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No contratada</w:t>
            </w:r>
          </w:p>
        </w:tc>
        <w:tc>
          <w:tcPr>
            <w:tcW w:w="1984" w:type="dxa"/>
            <w:vAlign w:val="center"/>
          </w:tcPr>
          <w:p w14:paraId="6AC4219F"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7</w:t>
            </w:r>
          </w:p>
        </w:tc>
        <w:tc>
          <w:tcPr>
            <w:tcW w:w="2126" w:type="dxa"/>
            <w:vAlign w:val="center"/>
          </w:tcPr>
          <w:p w14:paraId="014AB937"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0,6%</w:t>
            </w:r>
          </w:p>
        </w:tc>
      </w:tr>
      <w:tr w:rsidR="009F762E" w:rsidRPr="00242DFB" w14:paraId="02F07B7A" w14:textId="77777777" w:rsidTr="00890F98">
        <w:trPr>
          <w:cantSplit/>
          <w:trHeight w:val="300"/>
          <w:tblHeader/>
          <w:jc w:val="center"/>
        </w:trPr>
        <w:tc>
          <w:tcPr>
            <w:tcW w:w="3492" w:type="dxa"/>
            <w:vAlign w:val="center"/>
          </w:tcPr>
          <w:p w14:paraId="43F0DA78"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Clínica la Colina</w:t>
            </w:r>
          </w:p>
        </w:tc>
        <w:tc>
          <w:tcPr>
            <w:tcW w:w="2032" w:type="dxa"/>
            <w:vAlign w:val="center"/>
          </w:tcPr>
          <w:p w14:paraId="09FA03A7" w14:textId="77777777" w:rsidR="009F762E" w:rsidRPr="00242DFB" w:rsidRDefault="00000000" w:rsidP="005B2285">
            <w:pPr>
              <w:spacing w:line="360" w:lineRule="auto"/>
              <w:rPr>
                <w:rFonts w:ascii="Arial" w:eastAsia="Arial" w:hAnsi="Arial" w:cs="Arial"/>
                <w:color w:val="000000" w:themeColor="text1"/>
              </w:rPr>
            </w:pPr>
            <w:r w:rsidRPr="00242DFB">
              <w:rPr>
                <w:rFonts w:ascii="Arial" w:eastAsia="Arial" w:hAnsi="Arial" w:cs="Arial"/>
                <w:color w:val="000000" w:themeColor="text1"/>
                <w:kern w:val="2"/>
              </w:rPr>
              <w:t>No contratada</w:t>
            </w:r>
          </w:p>
        </w:tc>
        <w:tc>
          <w:tcPr>
            <w:tcW w:w="1984" w:type="dxa"/>
            <w:vAlign w:val="center"/>
          </w:tcPr>
          <w:p w14:paraId="576AD590"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6</w:t>
            </w:r>
          </w:p>
        </w:tc>
        <w:tc>
          <w:tcPr>
            <w:tcW w:w="2126" w:type="dxa"/>
            <w:vAlign w:val="center"/>
          </w:tcPr>
          <w:p w14:paraId="388FE27C"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color w:val="000000" w:themeColor="text1"/>
                <w:kern w:val="2"/>
              </w:rPr>
              <w:t>0,6%</w:t>
            </w:r>
          </w:p>
        </w:tc>
      </w:tr>
      <w:tr w:rsidR="009F762E" w:rsidRPr="00242DFB" w14:paraId="06CB976B" w14:textId="77777777" w:rsidTr="00890F98">
        <w:trPr>
          <w:cantSplit/>
          <w:trHeight w:val="300"/>
          <w:tblHeader/>
          <w:jc w:val="center"/>
        </w:trPr>
        <w:tc>
          <w:tcPr>
            <w:tcW w:w="3492" w:type="dxa"/>
            <w:vAlign w:val="center"/>
          </w:tcPr>
          <w:p w14:paraId="5EBDB549" w14:textId="77777777" w:rsidR="009F762E" w:rsidRPr="00242DFB" w:rsidRDefault="00000000" w:rsidP="005B2285">
            <w:pPr>
              <w:spacing w:line="360" w:lineRule="auto"/>
              <w:rPr>
                <w:rFonts w:ascii="Arial" w:eastAsia="Arial" w:hAnsi="Arial" w:cs="Arial"/>
                <w:b/>
                <w:color w:val="000000" w:themeColor="text1"/>
              </w:rPr>
            </w:pPr>
            <w:r w:rsidRPr="00242DFB">
              <w:rPr>
                <w:rFonts w:ascii="Arial" w:eastAsia="Arial" w:hAnsi="Arial" w:cs="Arial"/>
                <w:b/>
                <w:color w:val="000000" w:themeColor="text1"/>
                <w:kern w:val="2"/>
              </w:rPr>
              <w:t>Subtotal cinco IPS no contratadas</w:t>
            </w:r>
          </w:p>
        </w:tc>
        <w:tc>
          <w:tcPr>
            <w:tcW w:w="2032" w:type="dxa"/>
            <w:vAlign w:val="center"/>
          </w:tcPr>
          <w:p w14:paraId="2EE093AE" w14:textId="77777777" w:rsidR="009F762E" w:rsidRPr="00242DFB" w:rsidRDefault="009F762E" w:rsidP="005B2285">
            <w:pPr>
              <w:spacing w:line="360" w:lineRule="auto"/>
              <w:rPr>
                <w:rFonts w:ascii="Arial" w:eastAsia="Arial" w:hAnsi="Arial" w:cs="Arial"/>
                <w:color w:val="000000" w:themeColor="text1"/>
              </w:rPr>
            </w:pPr>
          </w:p>
        </w:tc>
        <w:tc>
          <w:tcPr>
            <w:tcW w:w="1984" w:type="dxa"/>
            <w:vAlign w:val="center"/>
          </w:tcPr>
          <w:p w14:paraId="788E42BD"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hAnsi="Arial" w:cs="Arial"/>
                <w:kern w:val="2"/>
              </w:rPr>
              <w:t>51</w:t>
            </w:r>
          </w:p>
        </w:tc>
        <w:tc>
          <w:tcPr>
            <w:tcW w:w="2126" w:type="dxa"/>
            <w:vAlign w:val="center"/>
          </w:tcPr>
          <w:p w14:paraId="04A34646" w14:textId="77777777" w:rsidR="009F762E" w:rsidRPr="00242DFB" w:rsidRDefault="00000000" w:rsidP="005B2285">
            <w:pPr>
              <w:spacing w:line="360" w:lineRule="auto"/>
              <w:jc w:val="center"/>
              <w:rPr>
                <w:rFonts w:ascii="Arial" w:eastAsia="Arial" w:hAnsi="Arial" w:cs="Arial"/>
                <w:color w:val="000000" w:themeColor="text1"/>
              </w:rPr>
            </w:pPr>
            <w:r w:rsidRPr="00242DFB">
              <w:rPr>
                <w:rFonts w:ascii="Arial" w:eastAsia="Arial" w:hAnsi="Arial" w:cs="Arial"/>
                <w:b/>
                <w:color w:val="000000" w:themeColor="text1"/>
                <w:kern w:val="2"/>
              </w:rPr>
              <w:t>4,7%</w:t>
            </w:r>
          </w:p>
        </w:tc>
      </w:tr>
    </w:tbl>
    <w:p w14:paraId="4B7C88E3" w14:textId="77777777" w:rsidR="009F762E" w:rsidRPr="00242DFB" w:rsidRDefault="00000000" w:rsidP="005B2285">
      <w:pPr>
        <w:spacing w:line="360" w:lineRule="auto"/>
        <w:jc w:val="both"/>
        <w:rPr>
          <w:rFonts w:ascii="Arial" w:hAnsi="Arial" w:cs="Arial"/>
          <w:color w:val="000000"/>
          <w:sz w:val="16"/>
          <w:szCs w:val="16"/>
        </w:rPr>
      </w:pPr>
      <w:r w:rsidRPr="00242DFB">
        <w:rPr>
          <w:rFonts w:ascii="Arial" w:hAnsi="Arial" w:cs="Arial"/>
          <w:color w:val="000000"/>
          <w:sz w:val="16"/>
          <w:szCs w:val="16"/>
        </w:rPr>
        <w:lastRenderedPageBreak/>
        <w:t>Fuente: Consolidado Número de casos especiales detectados por GAMA (27/05/2025 - 31/01/2026) vs. Cruce Matriz red prestadora reportada por Capital Salud EPS-S corte diciembre 2025.</w:t>
      </w:r>
    </w:p>
    <w:p w14:paraId="23DFA5E6" w14:textId="77777777" w:rsidR="0023214B" w:rsidRPr="00242DFB" w:rsidRDefault="0023214B" w:rsidP="005B2285">
      <w:pPr>
        <w:spacing w:line="360" w:lineRule="auto"/>
        <w:jc w:val="both"/>
        <w:rPr>
          <w:rFonts w:ascii="Arial" w:eastAsia="Arial" w:hAnsi="Arial" w:cs="Arial"/>
          <w:color w:val="000000" w:themeColor="text1"/>
        </w:rPr>
      </w:pPr>
    </w:p>
    <w:p w14:paraId="3BC4B0B7" w14:textId="6A3B8F5B" w:rsidR="0074650F" w:rsidRPr="0074650F" w:rsidRDefault="0074650F" w:rsidP="005B2285">
      <w:pPr>
        <w:spacing w:line="360" w:lineRule="auto"/>
        <w:jc w:val="both"/>
        <w:rPr>
          <w:rFonts w:ascii="Arial" w:eastAsia="Arial" w:hAnsi="Arial" w:cs="Arial"/>
          <w:bCs/>
          <w:color w:val="000000"/>
        </w:rPr>
      </w:pPr>
      <w:r w:rsidRPr="0074650F">
        <w:rPr>
          <w:rFonts w:ascii="Arial" w:eastAsia="Arial" w:hAnsi="Arial" w:cs="Arial"/>
          <w:bCs/>
          <w:color w:val="000000"/>
        </w:rPr>
        <w:t>Con el fin de garantizar consistencia frente al total de 1.079 casos de Capital Salud EPS-S identificados por el seguimiento GAMA, es necesario precisar que las Tablas 16 y 17 presentan únicamente las IPS con mayor participación dentro de la red contratada y no contratada, respectivamente. En este sentido, los 885 casos registrados en las diez principales IPS de la red contratada representan el 8</w:t>
      </w:r>
      <w:r w:rsidR="00B71C9B">
        <w:rPr>
          <w:rFonts w:ascii="Arial" w:eastAsia="Arial" w:hAnsi="Arial" w:cs="Arial"/>
          <w:bCs/>
          <w:color w:val="000000"/>
        </w:rPr>
        <w:t>1.9</w:t>
      </w:r>
      <w:r w:rsidRPr="0074650F">
        <w:rPr>
          <w:rFonts w:ascii="Arial" w:eastAsia="Arial" w:hAnsi="Arial" w:cs="Arial"/>
          <w:bCs/>
          <w:color w:val="000000"/>
        </w:rPr>
        <w:t>% del total, mientras que los 51 casos identificados en las cinco principales IPS no contratadas representan el 4,7%.</w:t>
      </w:r>
    </w:p>
    <w:p w14:paraId="13305EE5" w14:textId="77777777" w:rsidR="0074650F" w:rsidRPr="0074650F" w:rsidRDefault="0074650F" w:rsidP="005B2285">
      <w:pPr>
        <w:spacing w:line="360" w:lineRule="auto"/>
        <w:jc w:val="both"/>
        <w:rPr>
          <w:rFonts w:ascii="Arial" w:eastAsia="Arial" w:hAnsi="Arial" w:cs="Arial"/>
          <w:bCs/>
          <w:color w:val="000000"/>
        </w:rPr>
      </w:pPr>
    </w:p>
    <w:p w14:paraId="03BC2BD5" w14:textId="77777777" w:rsidR="0074650F" w:rsidRPr="0074650F" w:rsidRDefault="0074650F" w:rsidP="005B2285">
      <w:pPr>
        <w:spacing w:line="360" w:lineRule="auto"/>
        <w:jc w:val="both"/>
        <w:rPr>
          <w:rFonts w:ascii="Arial" w:eastAsia="Arial" w:hAnsi="Arial" w:cs="Arial"/>
          <w:bCs/>
          <w:color w:val="000000"/>
        </w:rPr>
      </w:pPr>
      <w:r w:rsidRPr="0074650F">
        <w:rPr>
          <w:rFonts w:ascii="Arial" w:eastAsia="Arial" w:hAnsi="Arial" w:cs="Arial"/>
          <w:bCs/>
          <w:color w:val="000000"/>
        </w:rPr>
        <w:t>La diferencia restante corresponde a 143 casos, equivalentes aproximadamente al 13,3%, los cuales se agrupan en la categoría residual “otras IPS / otros casos no clasificados en principales prestadores”. Esta categoría incluye registros que no hacen parte de los principales prestadores relacionados en las tablas, casos con menor frecuencia individual o registros que requieren mayor desagregación en la base fuente para su clasificación específica.</w:t>
      </w:r>
    </w:p>
    <w:p w14:paraId="60AB1757" w14:textId="77777777" w:rsidR="0074650F" w:rsidRPr="0074650F" w:rsidRDefault="0074650F" w:rsidP="005B2285">
      <w:pPr>
        <w:spacing w:line="360" w:lineRule="auto"/>
        <w:jc w:val="both"/>
        <w:rPr>
          <w:rFonts w:ascii="Arial" w:eastAsia="Arial" w:hAnsi="Arial" w:cs="Arial"/>
          <w:bCs/>
          <w:color w:val="000000"/>
        </w:rPr>
      </w:pPr>
    </w:p>
    <w:p w14:paraId="64EA4B91" w14:textId="6CDEFC0C" w:rsidR="0074650F" w:rsidRPr="0074650F" w:rsidRDefault="0074650F" w:rsidP="005B2285">
      <w:pPr>
        <w:spacing w:line="360" w:lineRule="auto"/>
        <w:jc w:val="both"/>
        <w:rPr>
          <w:rFonts w:ascii="Arial" w:eastAsia="Arial" w:hAnsi="Arial" w:cs="Arial"/>
          <w:bCs/>
          <w:color w:val="000000"/>
        </w:rPr>
      </w:pPr>
      <w:r w:rsidRPr="0074650F">
        <w:rPr>
          <w:rFonts w:ascii="Arial" w:eastAsia="Arial" w:hAnsi="Arial" w:cs="Arial"/>
          <w:bCs/>
          <w:color w:val="000000"/>
        </w:rPr>
        <w:t xml:space="preserve">De esta manera, la distribución consolidada de los casos de Capital Salud EPS-S objeto de seguimiento por GAMA se interpreta así: </w:t>
      </w:r>
      <w:r w:rsidR="00B71C9B">
        <w:rPr>
          <w:rFonts w:ascii="Arial" w:eastAsia="Arial" w:hAnsi="Arial" w:cs="Arial"/>
          <w:bCs/>
          <w:color w:val="000000"/>
        </w:rPr>
        <w:t>81,9</w:t>
      </w:r>
      <w:r w:rsidRPr="0074650F">
        <w:rPr>
          <w:rFonts w:ascii="Arial" w:eastAsia="Arial" w:hAnsi="Arial" w:cs="Arial"/>
          <w:bCs/>
          <w:color w:val="000000"/>
        </w:rPr>
        <w:t>% en principales IPS de red contratada, 4,7% en principales IPS no contratadas y 13,3% en otras IPS u otros casos no clasificados dentro de los principales prestadores, completando el 100% de los 1.079 casos analizados.</w:t>
      </w:r>
    </w:p>
    <w:p w14:paraId="608853F5" w14:textId="1EAB4C15" w:rsidR="0074650F" w:rsidRDefault="00000000" w:rsidP="005B2285">
      <w:pPr>
        <w:spacing w:line="360" w:lineRule="auto"/>
        <w:jc w:val="both"/>
        <w:rPr>
          <w:rFonts w:ascii="Arial" w:eastAsia="Arial" w:hAnsi="Arial" w:cs="Arial"/>
          <w:b/>
          <w:color w:val="000000"/>
        </w:rPr>
      </w:pPr>
      <w:r w:rsidRPr="0074650F">
        <w:rPr>
          <w:rFonts w:ascii="Arial" w:eastAsia="Arial" w:hAnsi="Arial" w:cs="Arial"/>
          <w:bCs/>
          <w:color w:val="000000"/>
        </w:rPr>
        <w:t xml:space="preserve"> </w:t>
      </w:r>
    </w:p>
    <w:p w14:paraId="039C3BF8" w14:textId="5AED66A9" w:rsidR="009F762E" w:rsidRPr="00242DFB" w:rsidRDefault="00000000" w:rsidP="005B2285">
      <w:pPr>
        <w:spacing w:line="360" w:lineRule="auto"/>
        <w:jc w:val="both"/>
        <w:rPr>
          <w:rFonts w:ascii="Arial" w:eastAsia="Arial" w:hAnsi="Arial" w:cs="Arial"/>
          <w:b/>
          <w:color w:val="000000" w:themeColor="text1"/>
        </w:rPr>
      </w:pPr>
      <w:r w:rsidRPr="00242DFB">
        <w:rPr>
          <w:rFonts w:ascii="Arial" w:eastAsia="Arial" w:hAnsi="Arial" w:cs="Arial"/>
          <w:color w:val="000000"/>
        </w:rPr>
        <w:t xml:space="preserve">El seguimiento realizado por el Grupo de Atención y Monitoreo en Salud (GAMA) de la Subdirección de Garantía del Aseguramiento, evidencia una problemática relevante en la red prestadora frente a la inoportunidad y efectividad de los procesos de referencia, remisión, traslados e interconsultas, con tiempos superiores a 24 horas, lo cual afecta directamente la continuidad y calidad en la atención de los usuarios del sistema de salud. </w:t>
      </w:r>
    </w:p>
    <w:p w14:paraId="1BB541DB" w14:textId="77777777" w:rsidR="009F762E" w:rsidRPr="00242DFB" w:rsidRDefault="009F762E" w:rsidP="005B2285">
      <w:pPr>
        <w:spacing w:line="360" w:lineRule="auto"/>
        <w:jc w:val="both"/>
        <w:rPr>
          <w:rFonts w:ascii="Arial" w:eastAsia="Arial" w:hAnsi="Arial" w:cs="Arial"/>
          <w:color w:val="000000" w:themeColor="text1"/>
        </w:rPr>
      </w:pPr>
    </w:p>
    <w:p w14:paraId="13AC4135" w14:textId="0E77A17C" w:rsidR="009F762E" w:rsidRPr="00242DFB" w:rsidRDefault="00000000" w:rsidP="005B2285">
      <w:pPr>
        <w:spacing w:line="360" w:lineRule="auto"/>
        <w:jc w:val="both"/>
        <w:rPr>
          <w:rFonts w:ascii="Arial" w:eastAsia="Arial" w:hAnsi="Arial" w:cs="Arial"/>
          <w:color w:val="000000" w:themeColor="text1"/>
        </w:rPr>
      </w:pPr>
      <w:r w:rsidRPr="00242DFB">
        <w:rPr>
          <w:rFonts w:ascii="Arial" w:hAnsi="Arial" w:cs="Arial"/>
          <w:color w:val="000000"/>
        </w:rPr>
        <w:lastRenderedPageBreak/>
        <w:t>El análisis de las Instituciones Prestadoras de Servicios de Salud (IPS) vinculadas a Capital Salud EPS-S permite evidenciar que el 8</w:t>
      </w:r>
      <w:r w:rsidR="00B71C9B">
        <w:rPr>
          <w:rFonts w:ascii="Arial" w:hAnsi="Arial" w:cs="Arial"/>
          <w:color w:val="000000"/>
        </w:rPr>
        <w:t>1,9</w:t>
      </w:r>
      <w:r w:rsidRPr="00242DFB">
        <w:rPr>
          <w:rFonts w:ascii="Arial" w:hAnsi="Arial" w:cs="Arial"/>
          <w:color w:val="000000"/>
        </w:rPr>
        <w:t>% de los casos con inoportunidad se concentran en las Subredes Integradas de Salud, que hacen parte de su red prestadora contratada, siendo la principal causa la no disponibilidad de camas, situación que refleja limitaciones en la capacidad instalada y en la gestión de la red para responder de manera oportuna a la demanda asistencial. Este hallazgo pone de manifiesto la necesidad de fortalecer los mecanismos de planeación, articulación y monitoreo de la red prestadora, especialmente en servicios de mediana y alta complejidad.</w:t>
      </w:r>
    </w:p>
    <w:p w14:paraId="524E4F24" w14:textId="77777777" w:rsidR="009F762E" w:rsidRPr="00242DFB" w:rsidRDefault="009F762E" w:rsidP="005B2285">
      <w:pPr>
        <w:spacing w:line="360" w:lineRule="auto"/>
        <w:jc w:val="both"/>
        <w:rPr>
          <w:rFonts w:ascii="Arial" w:eastAsia="Arial" w:hAnsi="Arial" w:cs="Arial"/>
          <w:color w:val="000000" w:themeColor="text1"/>
        </w:rPr>
      </w:pPr>
    </w:p>
    <w:p w14:paraId="213EFD75"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En conclusión, los resultados del seguimiento realizado por GAMA evidencian la necesidad de implementar acciones correctivas y preventivas orientadas a mejorar la oportunidad en la atención, optimizar la gestión de la red prestadora, fortalecer los procesos de referencia y contra referencia, y garantizar la disponibilidad efectiva de servicios críticos. Estas acciones son fundamentales para asegurar el acceso oportuno, continuo y de calidad a los servicios de salud, en concordancia con los principios de eficiencia, integralidad y protección del derecho fundamental a la salud.</w:t>
      </w:r>
    </w:p>
    <w:p w14:paraId="088E4221" w14:textId="77777777" w:rsidR="009F762E" w:rsidRPr="00242DFB" w:rsidRDefault="009F762E" w:rsidP="005B2285">
      <w:pPr>
        <w:spacing w:line="360" w:lineRule="auto"/>
        <w:rPr>
          <w:rFonts w:ascii="Arial" w:eastAsia="Arial" w:hAnsi="Arial" w:cs="Arial"/>
          <w:color w:val="000000" w:themeColor="text1"/>
        </w:rPr>
      </w:pPr>
    </w:p>
    <w:p w14:paraId="548BB08C" w14:textId="77777777" w:rsidR="009F762E" w:rsidRPr="00242DFB" w:rsidRDefault="00000000" w:rsidP="005B2285">
      <w:pPr>
        <w:pStyle w:val="Ttulo2"/>
        <w:numPr>
          <w:ilvl w:val="1"/>
          <w:numId w:val="7"/>
        </w:numPr>
        <w:spacing w:before="0" w:line="360" w:lineRule="auto"/>
        <w:jc w:val="both"/>
        <w:rPr>
          <w:rFonts w:ascii="Arial" w:hAnsi="Arial" w:cs="Arial"/>
          <w:b/>
          <w:bCs/>
          <w:color w:val="000000"/>
          <w:sz w:val="24"/>
          <w:szCs w:val="24"/>
        </w:rPr>
      </w:pPr>
      <w:bookmarkStart w:id="86" w:name="__RefHeading___Toc8602_542869190"/>
      <w:bookmarkStart w:id="87" w:name="_Toc233574845"/>
      <w:bookmarkEnd w:id="86"/>
      <w:r w:rsidRPr="00242DFB">
        <w:rPr>
          <w:rFonts w:ascii="Arial" w:hAnsi="Arial" w:cs="Arial"/>
          <w:b/>
          <w:bCs/>
          <w:color w:val="000000"/>
          <w:sz w:val="24"/>
          <w:szCs w:val="24"/>
        </w:rPr>
        <w:t>Análisis Capital Salud oportunidad en la asignación de citas médicas</w:t>
      </w:r>
      <w:bookmarkEnd w:id="87"/>
    </w:p>
    <w:p w14:paraId="657374CC" w14:textId="77777777" w:rsidR="00890F98" w:rsidRPr="00242DFB" w:rsidRDefault="00890F98" w:rsidP="005B2285">
      <w:pPr>
        <w:spacing w:line="360" w:lineRule="auto"/>
        <w:jc w:val="both"/>
        <w:rPr>
          <w:rFonts w:ascii="Arial" w:hAnsi="Arial" w:cs="Arial"/>
          <w:color w:val="000000"/>
        </w:rPr>
      </w:pPr>
    </w:p>
    <w:p w14:paraId="0E00CC6B" w14:textId="78D6D9EE" w:rsidR="009F762E" w:rsidRPr="00242DFB" w:rsidRDefault="00000000" w:rsidP="005B2285">
      <w:pPr>
        <w:spacing w:line="360" w:lineRule="auto"/>
        <w:jc w:val="both"/>
        <w:rPr>
          <w:rFonts w:ascii="Arial" w:hAnsi="Arial" w:cs="Arial"/>
          <w:color w:val="000000"/>
        </w:rPr>
      </w:pPr>
      <w:r w:rsidRPr="00242DFB">
        <w:rPr>
          <w:rFonts w:ascii="Arial" w:hAnsi="Arial" w:cs="Arial"/>
          <w:color w:val="000000"/>
        </w:rPr>
        <w:t>La información disponible en el informe no incorpora una serie específica de oportunidad en asignación de citas por especialidad, tipo de consulta o red contratada. Por tanto, el análisis de oportunidad se soporta en tres señales indirectas pero consistentes: el comportamiento de PQRS, los motivos de barrera de acceso y los casos GAMA con inoportunidad en referencia, remisión, traslado e interconsulta.</w:t>
      </w:r>
    </w:p>
    <w:p w14:paraId="5EBE10F2" w14:textId="77777777" w:rsidR="00890F98" w:rsidRPr="00242DFB" w:rsidRDefault="00890F98" w:rsidP="005B2285">
      <w:pPr>
        <w:spacing w:line="360" w:lineRule="auto"/>
        <w:jc w:val="both"/>
        <w:rPr>
          <w:rFonts w:ascii="Arial" w:hAnsi="Arial" w:cs="Arial"/>
        </w:rPr>
      </w:pPr>
    </w:p>
    <w:p w14:paraId="4FAEEB61" w14:textId="1D558FE6" w:rsidR="009F762E" w:rsidRPr="00242DFB" w:rsidRDefault="00000000" w:rsidP="005B2285">
      <w:pPr>
        <w:spacing w:line="360" w:lineRule="auto"/>
        <w:jc w:val="both"/>
        <w:rPr>
          <w:rFonts w:ascii="Arial" w:hAnsi="Arial" w:cs="Arial"/>
          <w:color w:val="000000"/>
        </w:rPr>
      </w:pPr>
      <w:r w:rsidRPr="00242DFB">
        <w:rPr>
          <w:rFonts w:ascii="Arial" w:hAnsi="Arial" w:cs="Arial"/>
          <w:color w:val="000000"/>
        </w:rPr>
        <w:t>Durante 2025, la oportunidad de citas en red contratada concentró 53.455 manifestaciones, equivalentes al 66,</w:t>
      </w:r>
      <w:r w:rsidR="00476227">
        <w:rPr>
          <w:rFonts w:ascii="Arial" w:hAnsi="Arial" w:cs="Arial"/>
          <w:color w:val="000000"/>
        </w:rPr>
        <w:t>9</w:t>
      </w:r>
      <w:r w:rsidRPr="00242DFB">
        <w:rPr>
          <w:rFonts w:ascii="Arial" w:hAnsi="Arial" w:cs="Arial"/>
          <w:color w:val="000000"/>
        </w:rPr>
        <w:t xml:space="preserve">4% de los principales motivos de PQRS reportados por la entidad. Este resultado ubica la asignación de citas como la principal barrera de acceso identificada por los usuarios y sugiere insuficiencia </w:t>
      </w:r>
      <w:r w:rsidRPr="00242DFB">
        <w:rPr>
          <w:rFonts w:ascii="Arial" w:hAnsi="Arial" w:cs="Arial"/>
          <w:color w:val="000000"/>
        </w:rPr>
        <w:lastRenderedPageBreak/>
        <w:t>operativa en la gestión de agenda, disponibilidad de prestadores o articulación entre la EPS y la red contratada.</w:t>
      </w:r>
    </w:p>
    <w:p w14:paraId="7ECF67A9" w14:textId="77777777" w:rsidR="00683F80" w:rsidRPr="00242DFB" w:rsidRDefault="00683F80" w:rsidP="005B2285">
      <w:pPr>
        <w:spacing w:line="360" w:lineRule="auto"/>
        <w:rPr>
          <w:rFonts w:ascii="Arial" w:hAnsi="Arial" w:cs="Arial"/>
        </w:rPr>
      </w:pPr>
    </w:p>
    <w:p w14:paraId="0488BF29" w14:textId="77777777" w:rsidR="009F762E" w:rsidRPr="00242DFB" w:rsidRDefault="00000000" w:rsidP="005B2285">
      <w:pPr>
        <w:spacing w:line="360" w:lineRule="auto"/>
        <w:jc w:val="both"/>
        <w:rPr>
          <w:rFonts w:ascii="Arial" w:hAnsi="Arial" w:cs="Arial"/>
        </w:rPr>
      </w:pPr>
      <w:r w:rsidRPr="00242DFB">
        <w:rPr>
          <w:rFonts w:ascii="Arial" w:hAnsi="Arial" w:cs="Arial"/>
          <w:color w:val="000000"/>
        </w:rPr>
        <w:t>La lectura integrada con el seguimiento GAMA evidencia que los problemas de acceso no se limitan al primer contacto ambulatorio, sino que también comprometen la continuidad asistencial en servicios de mayor complejidad. En consecuencia, se recomienda exigir a Capital Salud EPS-S un tablero mensual de oportunidad por especialidad, subred, IPS, régimen y localidad, que incluya tiempos promedio, percentiles, demanda no atendida, agendas abiertas, autorizaciones pendientes y acciones correctivas verificables.</w:t>
      </w:r>
    </w:p>
    <w:p w14:paraId="0D1A2FFC" w14:textId="77777777" w:rsidR="009F762E" w:rsidRPr="00242DFB" w:rsidRDefault="00000000" w:rsidP="005B2285">
      <w:pPr>
        <w:spacing w:line="360" w:lineRule="auto"/>
        <w:jc w:val="both"/>
        <w:rPr>
          <w:rFonts w:ascii="Arial" w:hAnsi="Arial" w:cs="Arial"/>
        </w:rPr>
      </w:pPr>
      <w:r w:rsidRPr="00242DFB">
        <w:rPr>
          <w:rFonts w:ascii="Arial" w:hAnsi="Arial" w:cs="Arial"/>
          <w:color w:val="000000"/>
        </w:rPr>
        <w:t>Para la versión final del informe, este apartado debe complementarse con la base oficial de oportunidad de citas médicas reportada por Capital Salud EPS-S, discriminando consulta de medicina general, odontología, especialidades básicas, especialidades trazadoras, apoyo diagnóstico y controles de cohortes priorizadas.</w:t>
      </w:r>
    </w:p>
    <w:p w14:paraId="40AF90D7" w14:textId="77777777" w:rsidR="009F762E" w:rsidRPr="00242DFB" w:rsidRDefault="009F762E" w:rsidP="005B2285">
      <w:pPr>
        <w:shd w:val="clear" w:color="auto" w:fill="FFFFFF"/>
        <w:spacing w:line="360" w:lineRule="auto"/>
        <w:jc w:val="both"/>
        <w:rPr>
          <w:rFonts w:ascii="Arial" w:hAnsi="Arial" w:cs="Arial"/>
          <w:color w:val="000000" w:themeColor="text1"/>
          <w:lang w:eastAsia="es-ES"/>
        </w:rPr>
      </w:pPr>
    </w:p>
    <w:p w14:paraId="040FFDA4" w14:textId="77777777" w:rsidR="009F762E" w:rsidRPr="00242DFB" w:rsidRDefault="00000000" w:rsidP="005B2285">
      <w:pPr>
        <w:pStyle w:val="Ttulo1"/>
        <w:numPr>
          <w:ilvl w:val="0"/>
          <w:numId w:val="7"/>
        </w:numPr>
        <w:spacing w:before="0" w:line="360" w:lineRule="auto"/>
        <w:jc w:val="both"/>
        <w:rPr>
          <w:rFonts w:ascii="Arial" w:hAnsi="Arial" w:cs="Arial"/>
          <w:b/>
          <w:bCs/>
          <w:color w:val="000000" w:themeColor="text1"/>
          <w:sz w:val="24"/>
          <w:szCs w:val="24"/>
        </w:rPr>
      </w:pPr>
      <w:bookmarkStart w:id="88" w:name="OLE_LINK12"/>
      <w:bookmarkStart w:id="89" w:name="__RefHeading___Toc8604_542869190"/>
      <w:bookmarkStart w:id="90" w:name="_Toc230853777"/>
      <w:bookmarkStart w:id="91" w:name="_Toc233574846"/>
      <w:bookmarkEnd w:id="88"/>
      <w:bookmarkEnd w:id="89"/>
      <w:r w:rsidRPr="00242DFB">
        <w:rPr>
          <w:rFonts w:ascii="Arial" w:hAnsi="Arial" w:cs="Arial"/>
          <w:b/>
          <w:bCs/>
          <w:color w:val="000000"/>
          <w:sz w:val="24"/>
          <w:szCs w:val="24"/>
        </w:rPr>
        <w:t>MEDICAMENTOS</w:t>
      </w:r>
      <w:bookmarkEnd w:id="90"/>
      <w:bookmarkEnd w:id="91"/>
    </w:p>
    <w:p w14:paraId="7482202B" w14:textId="77777777" w:rsidR="009F762E" w:rsidRPr="00242DFB" w:rsidRDefault="009F762E" w:rsidP="005B2285">
      <w:pPr>
        <w:spacing w:line="360" w:lineRule="auto"/>
        <w:jc w:val="both"/>
        <w:rPr>
          <w:rFonts w:ascii="Arial" w:hAnsi="Arial" w:cs="Arial"/>
          <w:color w:val="000000" w:themeColor="text1"/>
        </w:rPr>
      </w:pPr>
    </w:p>
    <w:p w14:paraId="3F18F62D"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La garantía del acceso oportuno, continuo y efectivo a los medicamentos financiados con recursos del Plan de Beneficios en Salud (PBS) constituye uno de los pilares fundamentales para la materialización del derecho fundamental a la salud en Colombia. La Ley Estatutaria 1751 de 2015 reconoce la salud como un derecho autónomo e irrenunciable, cuyo goce efectivo depende, entre otros factores, de la disponibilidad y entrega oportuna de las tecnologías en salud prescritas.</w:t>
      </w:r>
    </w:p>
    <w:p w14:paraId="3BA8ED32"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5AA070A1"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La no entrega oportuna y completa, la entrega parcial tardía o la no entrega de medicamentos generan impactos directos en la salud de los usuarios, particularmente en personas con enfermedades crónicas, de alto costo o condiciones de especial protección constitucional. Adicionalmente, estas fallas se traducen en un aumento de la demanda de servicios de urgencias, hospitalizaciones evitables y un crecimiento sostenido de las Peticiones, Quejas y Reclamos (PQRS), </w:t>
      </w:r>
      <w:r w:rsidRPr="00242DFB">
        <w:rPr>
          <w:rFonts w:ascii="Arial" w:eastAsia="Arial" w:hAnsi="Arial" w:cs="Arial"/>
          <w:color w:val="000000"/>
        </w:rPr>
        <w:lastRenderedPageBreak/>
        <w:t>lo que afecta la eficiencia del sistema y la confianza de la ciudadanía en las instituciones.</w:t>
      </w:r>
    </w:p>
    <w:p w14:paraId="580DA5AE"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1E99F235"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Desde esta perspectiva, el seguimiento a la atención en dispensación de medicamentos PBS no constituye únicamente una acción operativa, sino una intervención estratégica de</w:t>
      </w:r>
    </w:p>
    <w:p w14:paraId="12EDA79C"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4243C2AB"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gestión del riesgo en salud, alineada con los principios de accesibilidad, continuidad, oportunidad y calidad definidos en la normativa vigente.</w:t>
      </w:r>
    </w:p>
    <w:p w14:paraId="3C900066"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7B6C2091" w14:textId="7A2FC52F"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La información reportada por la Capital Salud EPS-S, derivada de la operación de los gestores farmacéuticos contratados permite identificar que el principal riesgo se relaciona con el incumplimiento de la entrega completa y oportuna de medicamentos PBS, deficiencia de puntos de dispensación según </w:t>
      </w:r>
      <w:r w:rsidR="006E0854">
        <w:rPr>
          <w:rFonts w:ascii="Arial" w:eastAsia="Arial" w:hAnsi="Arial" w:cs="Arial"/>
          <w:color w:val="000000"/>
        </w:rPr>
        <w:t>georreferenciación</w:t>
      </w:r>
      <w:r w:rsidRPr="00242DFB">
        <w:rPr>
          <w:rFonts w:ascii="Arial" w:eastAsia="Arial" w:hAnsi="Arial" w:cs="Arial"/>
          <w:color w:val="000000"/>
        </w:rPr>
        <w:t xml:space="preserve"> y población asignada por localidad, fallas en el seguimiento interno y control del proceso de dispensación.</w:t>
      </w:r>
    </w:p>
    <w:p w14:paraId="7E2A60DE"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3AD33124" w14:textId="77777777" w:rsidR="009F762E" w:rsidRPr="00242DFB" w:rsidRDefault="00000000" w:rsidP="005B2285">
      <w:pPr>
        <w:spacing w:line="360" w:lineRule="auto"/>
        <w:jc w:val="both"/>
        <w:rPr>
          <w:rFonts w:ascii="Arial" w:hAnsi="Arial" w:cs="Arial"/>
          <w:color w:val="000000" w:themeColor="text1"/>
        </w:rPr>
      </w:pPr>
      <w:r w:rsidRPr="00242DFB">
        <w:rPr>
          <w:rFonts w:ascii="Arial" w:hAnsi="Arial" w:cs="Arial"/>
          <w:color w:val="000000"/>
        </w:rPr>
        <w:t>Capital Salud EPS-S dio respuesta al requerimiento No. 026-EE-54444 de la Subdirección de Garantía del Aseguramiento, mediante el cual suministró información sobre red farmacéutica, georreferenciación, cohortes priorizadas e indicadores de dispensación.</w:t>
      </w:r>
    </w:p>
    <w:p w14:paraId="5310FBBB"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4D9623FA" w14:textId="77777777" w:rsidR="009F762E" w:rsidRPr="00242DFB" w:rsidRDefault="00000000" w:rsidP="005B2285">
      <w:pPr>
        <w:pStyle w:val="Ttulo2"/>
        <w:numPr>
          <w:ilvl w:val="1"/>
          <w:numId w:val="7"/>
        </w:numPr>
        <w:spacing w:before="0" w:line="360" w:lineRule="auto"/>
        <w:jc w:val="both"/>
        <w:rPr>
          <w:rFonts w:ascii="Arial" w:hAnsi="Arial" w:cs="Arial"/>
          <w:b/>
          <w:bCs/>
          <w:color w:val="000000"/>
          <w:sz w:val="24"/>
          <w:szCs w:val="24"/>
        </w:rPr>
      </w:pPr>
      <w:bookmarkStart w:id="92" w:name="__RefHeading___Toc8606_542869190"/>
      <w:bookmarkStart w:id="93" w:name="_Toc233574847"/>
      <w:bookmarkEnd w:id="92"/>
      <w:r w:rsidRPr="00242DFB">
        <w:rPr>
          <w:rFonts w:ascii="Arial" w:hAnsi="Arial" w:cs="Arial"/>
          <w:b/>
          <w:bCs/>
          <w:color w:val="000000"/>
          <w:sz w:val="24"/>
          <w:szCs w:val="24"/>
        </w:rPr>
        <w:t>Análisis de información del servicio farmacéutico aportada por Capital Salud EPS-S</w:t>
      </w:r>
      <w:bookmarkEnd w:id="93"/>
    </w:p>
    <w:p w14:paraId="13EF0F01"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b/>
          <w:bCs/>
          <w:color w:val="000000"/>
        </w:rPr>
        <w:t xml:space="preserve"> </w:t>
      </w:r>
    </w:p>
    <w:p w14:paraId="551F6364" w14:textId="77777777" w:rsidR="009F762E" w:rsidRPr="00242DFB"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t>En el marco de las actividades de inspección, vigilancia y seguimiento, se efectuó el análisis de la información relacionada con la prestación del servicio farmacéutico reportada por Capital Salud EPS-S, con el propósito de evaluar el desempeño de los procesos asociados a la dispensación de medicamentos y verificar su contribución al acceso oportuno, continuo e integral de las tecnologías en salud requeridas por la población afiliada.</w:t>
      </w:r>
    </w:p>
    <w:p w14:paraId="43DD1137" w14:textId="77777777" w:rsidR="007C623F" w:rsidRPr="00242DFB" w:rsidRDefault="007C623F" w:rsidP="005B2285">
      <w:pPr>
        <w:spacing w:line="360" w:lineRule="auto"/>
        <w:jc w:val="both"/>
        <w:rPr>
          <w:rFonts w:ascii="Arial" w:hAnsi="Arial" w:cs="Arial"/>
          <w:color w:val="000000" w:themeColor="text1"/>
        </w:rPr>
      </w:pPr>
    </w:p>
    <w:p w14:paraId="3034DEDA" w14:textId="77777777" w:rsidR="009F762E" w:rsidRPr="00242DFB"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t>La evaluación comprende el análisis de la capacidad operativa de la red farmacéutica contratada, su distribución territorial y los resultados obtenidos en los indicadores de gestión relacionados con la entrega de medicamentos. De manera particular, se examinan aspectos asociados a la oportunidad en la dispensación, la entrega completa de las fórmulas médicas y los tiempos de espera reportados, con el fin de identificar posibles brechas en la prestación del servicio que puedan generar barreras de acceso, afectar la continuidad de los tratamientos prescritos e impactar negativamente los resultados en salud de la población afiliada.</w:t>
      </w:r>
    </w:p>
    <w:p w14:paraId="3F734891" w14:textId="77777777" w:rsidR="007C623F" w:rsidRPr="00242DFB" w:rsidRDefault="007C623F" w:rsidP="005B2285">
      <w:pPr>
        <w:spacing w:line="360" w:lineRule="auto"/>
        <w:jc w:val="both"/>
        <w:rPr>
          <w:rFonts w:ascii="Arial" w:hAnsi="Arial" w:cs="Arial"/>
          <w:color w:val="000000" w:themeColor="text1"/>
        </w:rPr>
      </w:pPr>
    </w:p>
    <w:p w14:paraId="77561DC5"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Asimismo, el análisis permite determinar la existencia de riesgos operativos derivados de incumplimientos en los procesos de suministro de medicamentos, valorar la efectividad de las estrategias implementadas por la EPS para garantizar la dispensación de medicamentos de forma completa y oportuna.</w:t>
      </w:r>
    </w:p>
    <w:p w14:paraId="3DC100D5"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3049C55E" w14:textId="77777777" w:rsidR="009F762E" w:rsidRPr="00242DFB" w:rsidRDefault="00000000" w:rsidP="005B2285">
      <w:pPr>
        <w:spacing w:line="360" w:lineRule="auto"/>
        <w:jc w:val="both"/>
        <w:rPr>
          <w:rFonts w:ascii="Arial" w:hAnsi="Arial" w:cs="Arial"/>
          <w:color w:val="000000" w:themeColor="text1"/>
        </w:rPr>
      </w:pPr>
      <w:r w:rsidRPr="00242DFB">
        <w:rPr>
          <w:rFonts w:ascii="Arial" w:hAnsi="Arial" w:cs="Arial"/>
          <w:b/>
          <w:color w:val="000000"/>
        </w:rPr>
        <w:t>Red prestadora – georreferenciación: análisis de puntos de dispensación frente a población asignada por localidad.</w:t>
      </w:r>
    </w:p>
    <w:p w14:paraId="4FAF91A0" w14:textId="75B80EFA"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b/>
          <w:bCs/>
          <w:color w:val="000000"/>
        </w:rPr>
        <w:t xml:space="preserve"> </w:t>
      </w:r>
    </w:p>
    <w:p w14:paraId="3D5B88E1" w14:textId="50FF1C7A" w:rsidR="00136D19" w:rsidRPr="00242DFB" w:rsidRDefault="00136D19" w:rsidP="005B2285">
      <w:pPr>
        <w:pStyle w:val="Descripcin"/>
        <w:keepNext/>
        <w:spacing w:after="0"/>
        <w:jc w:val="center"/>
        <w:rPr>
          <w:rFonts w:ascii="Arial" w:hAnsi="Arial" w:cs="Arial"/>
          <w:color w:val="000000" w:themeColor="text1"/>
          <w:sz w:val="24"/>
          <w:szCs w:val="24"/>
        </w:rPr>
      </w:pPr>
      <w:bookmarkStart w:id="94" w:name="_Toc233574878"/>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18</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Puntos de dispensación por localidad y población asignada, Capital Salud EPS-S</w:t>
      </w:r>
      <w:bookmarkEnd w:id="94"/>
    </w:p>
    <w:tbl>
      <w:tblPr>
        <w:tblW w:w="8004" w:type="dxa"/>
        <w:jc w:val="center"/>
        <w:tblLayout w:type="fixed"/>
        <w:tblCellMar>
          <w:left w:w="70" w:type="dxa"/>
          <w:right w:w="70" w:type="dxa"/>
        </w:tblCellMar>
        <w:tblLook w:val="06A0" w:firstRow="1" w:lastRow="0" w:firstColumn="1" w:lastColumn="0" w:noHBand="1" w:noVBand="1"/>
      </w:tblPr>
      <w:tblGrid>
        <w:gridCol w:w="3261"/>
        <w:gridCol w:w="2882"/>
        <w:gridCol w:w="1861"/>
      </w:tblGrid>
      <w:tr w:rsidR="009F762E" w:rsidRPr="00242DFB" w14:paraId="5F864B06" w14:textId="77777777" w:rsidTr="00136D19">
        <w:trPr>
          <w:cantSplit/>
          <w:trHeight w:val="15"/>
          <w:tblHeader/>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D72761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Localidad</w:t>
            </w:r>
          </w:p>
        </w:tc>
        <w:tc>
          <w:tcPr>
            <w:tcW w:w="2882" w:type="dxa"/>
            <w:tcBorders>
              <w:top w:val="single" w:sz="8" w:space="0" w:color="000000"/>
              <w:left w:val="single" w:sz="8" w:space="0" w:color="000000"/>
              <w:bottom w:val="single" w:sz="8" w:space="0" w:color="000000"/>
              <w:right w:val="single" w:sz="8" w:space="0" w:color="000000"/>
            </w:tcBorders>
            <w:vAlign w:val="center"/>
          </w:tcPr>
          <w:p w14:paraId="4B298827" w14:textId="52CE3B38" w:rsidR="009F762E" w:rsidRPr="00242DFB" w:rsidRDefault="00435CD2"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Total,</w:t>
            </w:r>
            <w:r w:rsidR="00000000" w:rsidRPr="00242DFB">
              <w:rPr>
                <w:rFonts w:ascii="Arial" w:eastAsia="Arial" w:hAnsi="Arial" w:cs="Arial"/>
                <w:b/>
                <w:bCs/>
                <w:color w:val="000000" w:themeColor="text1"/>
              </w:rPr>
              <w:t xml:space="preserve"> población afiliada por localidad</w:t>
            </w:r>
          </w:p>
        </w:tc>
        <w:tc>
          <w:tcPr>
            <w:tcW w:w="1861" w:type="dxa"/>
            <w:tcBorders>
              <w:top w:val="single" w:sz="8" w:space="0" w:color="000000"/>
              <w:left w:val="single" w:sz="8" w:space="0" w:color="000000"/>
              <w:bottom w:val="single" w:sz="8" w:space="0" w:color="000000"/>
              <w:right w:val="single" w:sz="8" w:space="0" w:color="000000"/>
            </w:tcBorders>
            <w:vAlign w:val="center"/>
          </w:tcPr>
          <w:p w14:paraId="13592FA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Número de puntos</w:t>
            </w:r>
          </w:p>
        </w:tc>
      </w:tr>
      <w:tr w:rsidR="009F762E" w:rsidRPr="00242DFB" w14:paraId="20C008D2"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3DF8FCD9" w14:textId="5F62030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 xml:space="preserve">Ciudad </w:t>
            </w:r>
            <w:r w:rsidR="003F66B4" w:rsidRPr="00242DFB">
              <w:rPr>
                <w:rFonts w:ascii="Arial" w:eastAsia="Arial" w:hAnsi="Arial" w:cs="Arial"/>
                <w:color w:val="000000" w:themeColor="text1"/>
              </w:rPr>
              <w:t>Bolívar</w:t>
            </w:r>
          </w:p>
        </w:tc>
        <w:tc>
          <w:tcPr>
            <w:tcW w:w="2882" w:type="dxa"/>
            <w:tcBorders>
              <w:top w:val="single" w:sz="8" w:space="0" w:color="000000"/>
              <w:left w:val="single" w:sz="8" w:space="0" w:color="000000"/>
              <w:bottom w:val="single" w:sz="8" w:space="0" w:color="000000"/>
              <w:right w:val="single" w:sz="8" w:space="0" w:color="000000"/>
            </w:tcBorders>
            <w:vAlign w:val="center"/>
          </w:tcPr>
          <w:p w14:paraId="1408D83E"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123.078</w:t>
            </w:r>
          </w:p>
        </w:tc>
        <w:tc>
          <w:tcPr>
            <w:tcW w:w="1861" w:type="dxa"/>
            <w:tcBorders>
              <w:top w:val="single" w:sz="8" w:space="0" w:color="000000"/>
              <w:left w:val="single" w:sz="8" w:space="0" w:color="000000"/>
              <w:bottom w:val="single" w:sz="8" w:space="0" w:color="000000"/>
              <w:right w:val="single" w:sz="8" w:space="0" w:color="000000"/>
            </w:tcBorders>
            <w:vAlign w:val="center"/>
          </w:tcPr>
          <w:p w14:paraId="325C79F9"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14C92420"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021F1F15"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Bosa</w:t>
            </w:r>
          </w:p>
        </w:tc>
        <w:tc>
          <w:tcPr>
            <w:tcW w:w="2882" w:type="dxa"/>
            <w:tcBorders>
              <w:top w:val="single" w:sz="8" w:space="0" w:color="000000"/>
              <w:left w:val="single" w:sz="8" w:space="0" w:color="000000"/>
              <w:bottom w:val="single" w:sz="8" w:space="0" w:color="000000"/>
              <w:right w:val="single" w:sz="8" w:space="0" w:color="000000"/>
            </w:tcBorders>
            <w:vAlign w:val="center"/>
          </w:tcPr>
          <w:p w14:paraId="7EF8245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120.604</w:t>
            </w:r>
          </w:p>
        </w:tc>
        <w:tc>
          <w:tcPr>
            <w:tcW w:w="1861" w:type="dxa"/>
            <w:tcBorders>
              <w:top w:val="single" w:sz="8" w:space="0" w:color="000000"/>
              <w:left w:val="single" w:sz="8" w:space="0" w:color="000000"/>
              <w:bottom w:val="single" w:sz="8" w:space="0" w:color="000000"/>
              <w:right w:val="single" w:sz="8" w:space="0" w:color="000000"/>
            </w:tcBorders>
            <w:vAlign w:val="center"/>
          </w:tcPr>
          <w:p w14:paraId="10973B43"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r>
      <w:tr w:rsidR="009F762E" w:rsidRPr="00242DFB" w14:paraId="23586586"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037BAE9A"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Kennedy</w:t>
            </w:r>
          </w:p>
        </w:tc>
        <w:tc>
          <w:tcPr>
            <w:tcW w:w="2882" w:type="dxa"/>
            <w:tcBorders>
              <w:top w:val="single" w:sz="8" w:space="0" w:color="000000"/>
              <w:left w:val="single" w:sz="8" w:space="0" w:color="000000"/>
              <w:bottom w:val="single" w:sz="8" w:space="0" w:color="000000"/>
              <w:right w:val="single" w:sz="8" w:space="0" w:color="000000"/>
            </w:tcBorders>
            <w:vAlign w:val="center"/>
          </w:tcPr>
          <w:p w14:paraId="3AE60EA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114.588</w:t>
            </w:r>
          </w:p>
        </w:tc>
        <w:tc>
          <w:tcPr>
            <w:tcW w:w="1861" w:type="dxa"/>
            <w:tcBorders>
              <w:top w:val="single" w:sz="8" w:space="0" w:color="000000"/>
              <w:left w:val="single" w:sz="8" w:space="0" w:color="000000"/>
              <w:bottom w:val="single" w:sz="8" w:space="0" w:color="000000"/>
              <w:right w:val="single" w:sz="8" w:space="0" w:color="000000"/>
            </w:tcBorders>
            <w:vAlign w:val="center"/>
          </w:tcPr>
          <w:p w14:paraId="26CD0C2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17F12B52"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13B9D59"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Usme</w:t>
            </w:r>
          </w:p>
        </w:tc>
        <w:tc>
          <w:tcPr>
            <w:tcW w:w="2882" w:type="dxa"/>
            <w:tcBorders>
              <w:top w:val="single" w:sz="8" w:space="0" w:color="000000"/>
              <w:left w:val="single" w:sz="8" w:space="0" w:color="000000"/>
              <w:bottom w:val="single" w:sz="8" w:space="0" w:color="000000"/>
              <w:right w:val="single" w:sz="8" w:space="0" w:color="000000"/>
            </w:tcBorders>
            <w:vAlign w:val="center"/>
          </w:tcPr>
          <w:p w14:paraId="371026BD"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74.636</w:t>
            </w:r>
          </w:p>
        </w:tc>
        <w:tc>
          <w:tcPr>
            <w:tcW w:w="1861" w:type="dxa"/>
            <w:tcBorders>
              <w:top w:val="single" w:sz="8" w:space="0" w:color="000000"/>
              <w:left w:val="single" w:sz="8" w:space="0" w:color="000000"/>
              <w:bottom w:val="single" w:sz="8" w:space="0" w:color="000000"/>
              <w:right w:val="single" w:sz="8" w:space="0" w:color="000000"/>
            </w:tcBorders>
            <w:vAlign w:val="center"/>
          </w:tcPr>
          <w:p w14:paraId="01AAFE79"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7738B3FA"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A17A795"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Suba</w:t>
            </w:r>
          </w:p>
        </w:tc>
        <w:tc>
          <w:tcPr>
            <w:tcW w:w="2882" w:type="dxa"/>
            <w:tcBorders>
              <w:top w:val="single" w:sz="8" w:space="0" w:color="000000"/>
              <w:left w:val="single" w:sz="8" w:space="0" w:color="000000"/>
              <w:bottom w:val="single" w:sz="8" w:space="0" w:color="000000"/>
              <w:right w:val="single" w:sz="8" w:space="0" w:color="000000"/>
            </w:tcBorders>
            <w:vAlign w:val="center"/>
          </w:tcPr>
          <w:p w14:paraId="1884D1D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70.416</w:t>
            </w:r>
          </w:p>
        </w:tc>
        <w:tc>
          <w:tcPr>
            <w:tcW w:w="1861" w:type="dxa"/>
            <w:tcBorders>
              <w:top w:val="single" w:sz="8" w:space="0" w:color="000000"/>
              <w:left w:val="single" w:sz="8" w:space="0" w:color="000000"/>
              <w:bottom w:val="single" w:sz="8" w:space="0" w:color="000000"/>
              <w:right w:val="single" w:sz="8" w:space="0" w:color="000000"/>
            </w:tcBorders>
            <w:vAlign w:val="center"/>
          </w:tcPr>
          <w:p w14:paraId="3A73600D"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1B80D3AF"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555D752E" w14:textId="7D7A35A2"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 xml:space="preserve">San </w:t>
            </w:r>
            <w:r w:rsidR="003F66B4" w:rsidRPr="00242DFB">
              <w:rPr>
                <w:rFonts w:ascii="Arial" w:eastAsia="Arial" w:hAnsi="Arial" w:cs="Arial"/>
                <w:color w:val="000000" w:themeColor="text1"/>
              </w:rPr>
              <w:t>Cristóbal</w:t>
            </w:r>
          </w:p>
        </w:tc>
        <w:tc>
          <w:tcPr>
            <w:tcW w:w="2882" w:type="dxa"/>
            <w:tcBorders>
              <w:top w:val="single" w:sz="8" w:space="0" w:color="000000"/>
              <w:left w:val="single" w:sz="8" w:space="0" w:color="000000"/>
              <w:bottom w:val="single" w:sz="8" w:space="0" w:color="000000"/>
              <w:right w:val="single" w:sz="8" w:space="0" w:color="000000"/>
            </w:tcBorders>
            <w:vAlign w:val="center"/>
          </w:tcPr>
          <w:p w14:paraId="7D654D2F"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69.259</w:t>
            </w:r>
          </w:p>
        </w:tc>
        <w:tc>
          <w:tcPr>
            <w:tcW w:w="1861" w:type="dxa"/>
            <w:tcBorders>
              <w:top w:val="single" w:sz="8" w:space="0" w:color="000000"/>
              <w:left w:val="single" w:sz="8" w:space="0" w:color="000000"/>
              <w:bottom w:val="single" w:sz="8" w:space="0" w:color="000000"/>
              <w:right w:val="single" w:sz="8" w:space="0" w:color="000000"/>
            </w:tcBorders>
            <w:vAlign w:val="center"/>
          </w:tcPr>
          <w:p w14:paraId="324EFE5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0F5A6921"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3845A642"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Rafael Uribe</w:t>
            </w:r>
          </w:p>
        </w:tc>
        <w:tc>
          <w:tcPr>
            <w:tcW w:w="2882" w:type="dxa"/>
            <w:tcBorders>
              <w:top w:val="single" w:sz="8" w:space="0" w:color="000000"/>
              <w:left w:val="single" w:sz="8" w:space="0" w:color="000000"/>
              <w:bottom w:val="single" w:sz="8" w:space="0" w:color="000000"/>
              <w:right w:val="single" w:sz="8" w:space="0" w:color="000000"/>
            </w:tcBorders>
            <w:vAlign w:val="center"/>
          </w:tcPr>
          <w:p w14:paraId="630808F7"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62.702</w:t>
            </w:r>
          </w:p>
        </w:tc>
        <w:tc>
          <w:tcPr>
            <w:tcW w:w="1861" w:type="dxa"/>
            <w:tcBorders>
              <w:top w:val="single" w:sz="8" w:space="0" w:color="000000"/>
              <w:left w:val="single" w:sz="8" w:space="0" w:color="000000"/>
              <w:bottom w:val="single" w:sz="8" w:space="0" w:color="000000"/>
              <w:right w:val="single" w:sz="8" w:space="0" w:color="000000"/>
            </w:tcBorders>
            <w:vAlign w:val="center"/>
          </w:tcPr>
          <w:p w14:paraId="464CE783"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4BB679C9"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A7FD6FB"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Engativá</w:t>
            </w:r>
          </w:p>
        </w:tc>
        <w:tc>
          <w:tcPr>
            <w:tcW w:w="2882" w:type="dxa"/>
            <w:tcBorders>
              <w:top w:val="single" w:sz="8" w:space="0" w:color="000000"/>
              <w:left w:val="single" w:sz="8" w:space="0" w:color="000000"/>
              <w:bottom w:val="single" w:sz="8" w:space="0" w:color="000000"/>
              <w:right w:val="single" w:sz="8" w:space="0" w:color="000000"/>
            </w:tcBorders>
            <w:vAlign w:val="center"/>
          </w:tcPr>
          <w:p w14:paraId="3567134E"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62.489</w:t>
            </w:r>
          </w:p>
        </w:tc>
        <w:tc>
          <w:tcPr>
            <w:tcW w:w="1861" w:type="dxa"/>
            <w:tcBorders>
              <w:top w:val="single" w:sz="8" w:space="0" w:color="000000"/>
              <w:left w:val="single" w:sz="8" w:space="0" w:color="000000"/>
              <w:bottom w:val="single" w:sz="8" w:space="0" w:color="000000"/>
              <w:right w:val="single" w:sz="8" w:space="0" w:color="000000"/>
            </w:tcBorders>
            <w:vAlign w:val="center"/>
          </w:tcPr>
          <w:p w14:paraId="4E5C730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37A05054"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326AF979"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Santa Fe</w:t>
            </w:r>
          </w:p>
        </w:tc>
        <w:tc>
          <w:tcPr>
            <w:tcW w:w="2882" w:type="dxa"/>
            <w:tcBorders>
              <w:top w:val="single" w:sz="8" w:space="0" w:color="000000"/>
              <w:left w:val="single" w:sz="8" w:space="0" w:color="000000"/>
              <w:bottom w:val="single" w:sz="8" w:space="0" w:color="000000"/>
              <w:right w:val="single" w:sz="8" w:space="0" w:color="000000"/>
            </w:tcBorders>
            <w:vAlign w:val="center"/>
          </w:tcPr>
          <w:p w14:paraId="4CF16E8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32.461</w:t>
            </w:r>
          </w:p>
        </w:tc>
        <w:tc>
          <w:tcPr>
            <w:tcW w:w="1861" w:type="dxa"/>
            <w:tcBorders>
              <w:top w:val="single" w:sz="8" w:space="0" w:color="000000"/>
              <w:left w:val="single" w:sz="8" w:space="0" w:color="000000"/>
              <w:bottom w:val="single" w:sz="8" w:space="0" w:color="000000"/>
              <w:right w:val="single" w:sz="8" w:space="0" w:color="000000"/>
            </w:tcBorders>
            <w:vAlign w:val="center"/>
          </w:tcPr>
          <w:p w14:paraId="652AD7A9"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189A4789"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C366981"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lastRenderedPageBreak/>
              <w:t>Tunjuelito</w:t>
            </w:r>
          </w:p>
        </w:tc>
        <w:tc>
          <w:tcPr>
            <w:tcW w:w="2882" w:type="dxa"/>
            <w:tcBorders>
              <w:top w:val="single" w:sz="8" w:space="0" w:color="000000"/>
              <w:left w:val="single" w:sz="8" w:space="0" w:color="000000"/>
              <w:bottom w:val="single" w:sz="8" w:space="0" w:color="000000"/>
              <w:right w:val="single" w:sz="8" w:space="0" w:color="000000"/>
            </w:tcBorders>
            <w:vAlign w:val="center"/>
          </w:tcPr>
          <w:p w14:paraId="6E7A3C2C"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28.718</w:t>
            </w:r>
          </w:p>
        </w:tc>
        <w:tc>
          <w:tcPr>
            <w:tcW w:w="1861" w:type="dxa"/>
            <w:tcBorders>
              <w:top w:val="single" w:sz="8" w:space="0" w:color="000000"/>
              <w:left w:val="single" w:sz="8" w:space="0" w:color="000000"/>
              <w:bottom w:val="single" w:sz="8" w:space="0" w:color="000000"/>
              <w:right w:val="single" w:sz="8" w:space="0" w:color="000000"/>
            </w:tcBorders>
            <w:vAlign w:val="center"/>
          </w:tcPr>
          <w:p w14:paraId="62635AA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4EDAA432"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71B71E72"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Usaquén</w:t>
            </w:r>
          </w:p>
        </w:tc>
        <w:tc>
          <w:tcPr>
            <w:tcW w:w="2882" w:type="dxa"/>
            <w:tcBorders>
              <w:top w:val="single" w:sz="8" w:space="0" w:color="000000"/>
              <w:left w:val="single" w:sz="8" w:space="0" w:color="000000"/>
              <w:bottom w:val="single" w:sz="8" w:space="0" w:color="000000"/>
              <w:right w:val="single" w:sz="8" w:space="0" w:color="000000"/>
            </w:tcBorders>
            <w:vAlign w:val="center"/>
          </w:tcPr>
          <w:p w14:paraId="1917E6C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28.413</w:t>
            </w:r>
          </w:p>
        </w:tc>
        <w:tc>
          <w:tcPr>
            <w:tcW w:w="1861" w:type="dxa"/>
            <w:tcBorders>
              <w:top w:val="single" w:sz="8" w:space="0" w:color="000000"/>
              <w:left w:val="single" w:sz="8" w:space="0" w:color="000000"/>
              <w:bottom w:val="single" w:sz="8" w:space="0" w:color="000000"/>
              <w:right w:val="single" w:sz="8" w:space="0" w:color="000000"/>
            </w:tcBorders>
            <w:vAlign w:val="center"/>
          </w:tcPr>
          <w:p w14:paraId="44FD9219"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5C8E92A4"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34D9E735"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Fontibón</w:t>
            </w:r>
          </w:p>
        </w:tc>
        <w:tc>
          <w:tcPr>
            <w:tcW w:w="2882" w:type="dxa"/>
            <w:tcBorders>
              <w:top w:val="single" w:sz="8" w:space="0" w:color="000000"/>
              <w:left w:val="single" w:sz="8" w:space="0" w:color="000000"/>
              <w:bottom w:val="single" w:sz="8" w:space="0" w:color="000000"/>
              <w:right w:val="single" w:sz="8" w:space="0" w:color="000000"/>
            </w:tcBorders>
            <w:vAlign w:val="center"/>
          </w:tcPr>
          <w:p w14:paraId="2687BC5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22.897</w:t>
            </w:r>
          </w:p>
        </w:tc>
        <w:tc>
          <w:tcPr>
            <w:tcW w:w="1861" w:type="dxa"/>
            <w:tcBorders>
              <w:top w:val="single" w:sz="8" w:space="0" w:color="000000"/>
              <w:left w:val="single" w:sz="8" w:space="0" w:color="000000"/>
              <w:bottom w:val="single" w:sz="8" w:space="0" w:color="000000"/>
              <w:right w:val="single" w:sz="8" w:space="0" w:color="000000"/>
            </w:tcBorders>
            <w:vAlign w:val="center"/>
          </w:tcPr>
          <w:p w14:paraId="40501DA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55399D69"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649C8AE6"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Puente Aranda</w:t>
            </w:r>
          </w:p>
        </w:tc>
        <w:tc>
          <w:tcPr>
            <w:tcW w:w="2882" w:type="dxa"/>
            <w:tcBorders>
              <w:top w:val="single" w:sz="8" w:space="0" w:color="000000"/>
              <w:left w:val="single" w:sz="8" w:space="0" w:color="000000"/>
              <w:bottom w:val="single" w:sz="8" w:space="0" w:color="000000"/>
              <w:right w:val="single" w:sz="8" w:space="0" w:color="000000"/>
            </w:tcBorders>
            <w:vAlign w:val="center"/>
          </w:tcPr>
          <w:p w14:paraId="648973E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20.505</w:t>
            </w:r>
          </w:p>
        </w:tc>
        <w:tc>
          <w:tcPr>
            <w:tcW w:w="1861" w:type="dxa"/>
            <w:tcBorders>
              <w:top w:val="single" w:sz="8" w:space="0" w:color="000000"/>
              <w:left w:val="single" w:sz="8" w:space="0" w:color="000000"/>
              <w:bottom w:val="single" w:sz="8" w:space="0" w:color="000000"/>
              <w:right w:val="single" w:sz="8" w:space="0" w:color="000000"/>
            </w:tcBorders>
            <w:vAlign w:val="center"/>
          </w:tcPr>
          <w:p w14:paraId="0830DA76"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780B9E30"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E5895FF"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Mártires</w:t>
            </w:r>
          </w:p>
        </w:tc>
        <w:tc>
          <w:tcPr>
            <w:tcW w:w="2882" w:type="dxa"/>
            <w:tcBorders>
              <w:top w:val="single" w:sz="8" w:space="0" w:color="000000"/>
              <w:left w:val="single" w:sz="8" w:space="0" w:color="000000"/>
              <w:bottom w:val="single" w:sz="8" w:space="0" w:color="000000"/>
              <w:right w:val="single" w:sz="8" w:space="0" w:color="000000"/>
            </w:tcBorders>
            <w:vAlign w:val="center"/>
          </w:tcPr>
          <w:p w14:paraId="477F0ABD"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19.635</w:t>
            </w:r>
          </w:p>
        </w:tc>
        <w:tc>
          <w:tcPr>
            <w:tcW w:w="1861" w:type="dxa"/>
            <w:tcBorders>
              <w:top w:val="single" w:sz="8" w:space="0" w:color="000000"/>
              <w:left w:val="single" w:sz="8" w:space="0" w:color="000000"/>
              <w:bottom w:val="single" w:sz="8" w:space="0" w:color="000000"/>
              <w:right w:val="single" w:sz="8" w:space="0" w:color="000000"/>
            </w:tcBorders>
            <w:vAlign w:val="center"/>
          </w:tcPr>
          <w:p w14:paraId="6FCBC9D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49353711"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70C08A26"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Barrios Unidos</w:t>
            </w:r>
          </w:p>
        </w:tc>
        <w:tc>
          <w:tcPr>
            <w:tcW w:w="2882" w:type="dxa"/>
            <w:tcBorders>
              <w:top w:val="single" w:sz="8" w:space="0" w:color="000000"/>
              <w:left w:val="single" w:sz="8" w:space="0" w:color="000000"/>
              <w:bottom w:val="single" w:sz="8" w:space="0" w:color="000000"/>
              <w:right w:val="single" w:sz="8" w:space="0" w:color="000000"/>
            </w:tcBorders>
            <w:vAlign w:val="center"/>
          </w:tcPr>
          <w:p w14:paraId="2580D79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13.055</w:t>
            </w:r>
          </w:p>
        </w:tc>
        <w:tc>
          <w:tcPr>
            <w:tcW w:w="1861" w:type="dxa"/>
            <w:tcBorders>
              <w:top w:val="single" w:sz="8" w:space="0" w:color="000000"/>
              <w:left w:val="single" w:sz="8" w:space="0" w:color="000000"/>
              <w:bottom w:val="single" w:sz="8" w:space="0" w:color="000000"/>
              <w:right w:val="single" w:sz="8" w:space="0" w:color="000000"/>
            </w:tcBorders>
            <w:vAlign w:val="center"/>
          </w:tcPr>
          <w:p w14:paraId="5ADC1C44"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2</w:t>
            </w:r>
          </w:p>
        </w:tc>
      </w:tr>
      <w:tr w:rsidR="009F762E" w:rsidRPr="00242DFB" w14:paraId="1AFDA6C4"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98E6344"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Antonio Nariño</w:t>
            </w:r>
          </w:p>
        </w:tc>
        <w:tc>
          <w:tcPr>
            <w:tcW w:w="2882" w:type="dxa"/>
            <w:tcBorders>
              <w:top w:val="single" w:sz="8" w:space="0" w:color="000000"/>
              <w:left w:val="single" w:sz="8" w:space="0" w:color="000000"/>
              <w:bottom w:val="single" w:sz="8" w:space="0" w:color="000000"/>
              <w:right w:val="single" w:sz="8" w:space="0" w:color="000000"/>
            </w:tcBorders>
            <w:vAlign w:val="center"/>
          </w:tcPr>
          <w:p w14:paraId="0682E440"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10.958</w:t>
            </w:r>
          </w:p>
        </w:tc>
        <w:tc>
          <w:tcPr>
            <w:tcW w:w="1861" w:type="dxa"/>
            <w:tcBorders>
              <w:top w:val="single" w:sz="8" w:space="0" w:color="000000"/>
              <w:left w:val="single" w:sz="8" w:space="0" w:color="000000"/>
              <w:bottom w:val="single" w:sz="8" w:space="0" w:color="000000"/>
              <w:right w:val="single" w:sz="8" w:space="0" w:color="000000"/>
            </w:tcBorders>
            <w:vAlign w:val="center"/>
          </w:tcPr>
          <w:p w14:paraId="667B15B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5464A26D"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0FF35C09"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Chapinero</w:t>
            </w:r>
          </w:p>
        </w:tc>
        <w:tc>
          <w:tcPr>
            <w:tcW w:w="2882" w:type="dxa"/>
            <w:tcBorders>
              <w:top w:val="single" w:sz="8" w:space="0" w:color="000000"/>
              <w:left w:val="single" w:sz="8" w:space="0" w:color="000000"/>
              <w:bottom w:val="single" w:sz="8" w:space="0" w:color="000000"/>
              <w:right w:val="single" w:sz="8" w:space="0" w:color="000000"/>
            </w:tcBorders>
            <w:vAlign w:val="center"/>
          </w:tcPr>
          <w:p w14:paraId="061E8CE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9.785</w:t>
            </w:r>
          </w:p>
        </w:tc>
        <w:tc>
          <w:tcPr>
            <w:tcW w:w="1861" w:type="dxa"/>
            <w:tcBorders>
              <w:top w:val="single" w:sz="8" w:space="0" w:color="000000"/>
              <w:left w:val="single" w:sz="8" w:space="0" w:color="000000"/>
              <w:bottom w:val="single" w:sz="8" w:space="0" w:color="000000"/>
              <w:right w:val="single" w:sz="8" w:space="0" w:color="000000"/>
            </w:tcBorders>
            <w:vAlign w:val="center"/>
          </w:tcPr>
          <w:p w14:paraId="5D104645"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w:t>
            </w:r>
          </w:p>
        </w:tc>
      </w:tr>
      <w:tr w:rsidR="009F762E" w:rsidRPr="00242DFB" w14:paraId="4AF0EC72"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33B815E0"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Teusaquillo</w:t>
            </w:r>
          </w:p>
        </w:tc>
        <w:tc>
          <w:tcPr>
            <w:tcW w:w="2882" w:type="dxa"/>
            <w:tcBorders>
              <w:top w:val="single" w:sz="8" w:space="0" w:color="000000"/>
              <w:left w:val="single" w:sz="8" w:space="0" w:color="000000"/>
              <w:bottom w:val="single" w:sz="8" w:space="0" w:color="000000"/>
              <w:right w:val="single" w:sz="8" w:space="0" w:color="000000"/>
            </w:tcBorders>
            <w:vAlign w:val="center"/>
          </w:tcPr>
          <w:p w14:paraId="382C09E4"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6.952</w:t>
            </w:r>
          </w:p>
        </w:tc>
        <w:tc>
          <w:tcPr>
            <w:tcW w:w="1861" w:type="dxa"/>
            <w:tcBorders>
              <w:top w:val="single" w:sz="8" w:space="0" w:color="000000"/>
              <w:left w:val="single" w:sz="8" w:space="0" w:color="000000"/>
              <w:bottom w:val="single" w:sz="8" w:space="0" w:color="000000"/>
              <w:right w:val="single" w:sz="8" w:space="0" w:color="000000"/>
            </w:tcBorders>
            <w:vAlign w:val="center"/>
          </w:tcPr>
          <w:p w14:paraId="0C844FA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371CA4D4"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17ABBA64"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Candelaria</w:t>
            </w:r>
          </w:p>
        </w:tc>
        <w:tc>
          <w:tcPr>
            <w:tcW w:w="2882" w:type="dxa"/>
            <w:tcBorders>
              <w:top w:val="single" w:sz="8" w:space="0" w:color="000000"/>
              <w:left w:val="single" w:sz="8" w:space="0" w:color="000000"/>
              <w:bottom w:val="single" w:sz="8" w:space="0" w:color="000000"/>
              <w:right w:val="single" w:sz="8" w:space="0" w:color="000000"/>
            </w:tcBorders>
            <w:vAlign w:val="center"/>
          </w:tcPr>
          <w:p w14:paraId="321A542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5.567</w:t>
            </w:r>
          </w:p>
        </w:tc>
        <w:tc>
          <w:tcPr>
            <w:tcW w:w="1861" w:type="dxa"/>
            <w:tcBorders>
              <w:top w:val="single" w:sz="8" w:space="0" w:color="000000"/>
              <w:left w:val="single" w:sz="8" w:space="0" w:color="000000"/>
              <w:bottom w:val="single" w:sz="8" w:space="0" w:color="000000"/>
              <w:right w:val="single" w:sz="8" w:space="0" w:color="000000"/>
            </w:tcBorders>
            <w:vAlign w:val="center"/>
          </w:tcPr>
          <w:p w14:paraId="371B8DD3"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08BCBB35"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60EC364D"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rPr>
              <w:t>Sumapaz</w:t>
            </w:r>
          </w:p>
        </w:tc>
        <w:tc>
          <w:tcPr>
            <w:tcW w:w="2882" w:type="dxa"/>
            <w:tcBorders>
              <w:top w:val="single" w:sz="8" w:space="0" w:color="000000"/>
              <w:left w:val="single" w:sz="8" w:space="0" w:color="000000"/>
              <w:bottom w:val="single" w:sz="8" w:space="0" w:color="000000"/>
              <w:right w:val="single" w:sz="8" w:space="0" w:color="000000"/>
            </w:tcBorders>
            <w:vAlign w:val="center"/>
          </w:tcPr>
          <w:p w14:paraId="60EC074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1.391</w:t>
            </w:r>
          </w:p>
        </w:tc>
        <w:tc>
          <w:tcPr>
            <w:tcW w:w="1861" w:type="dxa"/>
            <w:tcBorders>
              <w:top w:val="single" w:sz="8" w:space="0" w:color="000000"/>
              <w:left w:val="single" w:sz="8" w:space="0" w:color="000000"/>
              <w:bottom w:val="single" w:sz="8" w:space="0" w:color="000000"/>
              <w:right w:val="single" w:sz="8" w:space="0" w:color="000000"/>
            </w:tcBorders>
            <w:vAlign w:val="center"/>
          </w:tcPr>
          <w:p w14:paraId="59E030CB"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0</w:t>
            </w:r>
          </w:p>
        </w:tc>
      </w:tr>
      <w:tr w:rsidR="009F762E" w:rsidRPr="00242DFB" w14:paraId="2E5300D6" w14:textId="77777777" w:rsidTr="00136D19">
        <w:trPr>
          <w:cantSplit/>
          <w:trHeight w:val="15"/>
          <w:jc w:val="center"/>
        </w:trPr>
        <w:tc>
          <w:tcPr>
            <w:tcW w:w="3261" w:type="dxa"/>
            <w:tcBorders>
              <w:top w:val="single" w:sz="8" w:space="0" w:color="000000"/>
              <w:left w:val="single" w:sz="8" w:space="0" w:color="000000"/>
              <w:bottom w:val="single" w:sz="8" w:space="0" w:color="000000"/>
              <w:right w:val="single" w:sz="8" w:space="0" w:color="000000"/>
            </w:tcBorders>
            <w:vAlign w:val="center"/>
          </w:tcPr>
          <w:p w14:paraId="4B66A377"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b/>
                <w:bCs/>
                <w:color w:val="000000" w:themeColor="text1"/>
              </w:rPr>
              <w:t>TOTAL</w:t>
            </w:r>
          </w:p>
        </w:tc>
        <w:tc>
          <w:tcPr>
            <w:tcW w:w="2882" w:type="dxa"/>
            <w:tcBorders>
              <w:top w:val="single" w:sz="8" w:space="0" w:color="000000"/>
              <w:left w:val="single" w:sz="8" w:space="0" w:color="000000"/>
              <w:bottom w:val="single" w:sz="8" w:space="0" w:color="000000"/>
              <w:right w:val="single" w:sz="8" w:space="0" w:color="000000"/>
            </w:tcBorders>
            <w:vAlign w:val="center"/>
          </w:tcPr>
          <w:p w14:paraId="3B99E373"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898.109</w:t>
            </w:r>
          </w:p>
        </w:tc>
        <w:tc>
          <w:tcPr>
            <w:tcW w:w="1861" w:type="dxa"/>
            <w:tcBorders>
              <w:top w:val="single" w:sz="8" w:space="0" w:color="000000"/>
              <w:left w:val="single" w:sz="8" w:space="0" w:color="000000"/>
              <w:bottom w:val="single" w:sz="8" w:space="0" w:color="000000"/>
              <w:right w:val="single" w:sz="8" w:space="0" w:color="000000"/>
            </w:tcBorders>
            <w:vAlign w:val="center"/>
          </w:tcPr>
          <w:p w14:paraId="19B776BD"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14</w:t>
            </w:r>
          </w:p>
        </w:tc>
      </w:tr>
    </w:tbl>
    <w:p w14:paraId="4153D2DB" w14:textId="17BAFB26" w:rsidR="009F762E" w:rsidRPr="00242DFB" w:rsidRDefault="00000000" w:rsidP="005B2285">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 xml:space="preserve">Fuente Capital Salud EPS-S: Respuesta al requerimiento No. 026-EE-54444 de la Subdirección de Garantía del Aseguramiento, mediante la cual se remite información de la Red Prestadora por </w:t>
      </w:r>
      <w:r w:rsidR="006E0854">
        <w:rPr>
          <w:rFonts w:ascii="Arial" w:eastAsia="Arial" w:hAnsi="Arial" w:cs="Arial"/>
          <w:color w:val="000000"/>
          <w:sz w:val="16"/>
          <w:szCs w:val="16"/>
        </w:rPr>
        <w:t>Georreferenciación</w:t>
      </w:r>
      <w:r w:rsidRPr="00242DFB">
        <w:rPr>
          <w:rFonts w:ascii="Arial" w:eastAsia="Arial" w:hAnsi="Arial" w:cs="Arial"/>
          <w:color w:val="000000"/>
          <w:sz w:val="16"/>
          <w:szCs w:val="16"/>
        </w:rPr>
        <w:t xml:space="preserve"> (Afiliados Corte 30-04-2026 Sin incluir los registros en portabilidad información).</w:t>
      </w:r>
    </w:p>
    <w:p w14:paraId="47CCEF7A" w14:textId="77777777" w:rsidR="009F762E" w:rsidRPr="00242DFB" w:rsidRDefault="00000000" w:rsidP="005B2285">
      <w:pPr>
        <w:spacing w:line="360" w:lineRule="auto"/>
        <w:ind w:left="1342" w:right="1338"/>
        <w:jc w:val="center"/>
        <w:rPr>
          <w:rFonts w:ascii="Arial" w:hAnsi="Arial" w:cs="Arial"/>
          <w:color w:val="000000" w:themeColor="text1"/>
        </w:rPr>
      </w:pPr>
      <w:r w:rsidRPr="00242DFB">
        <w:rPr>
          <w:rFonts w:ascii="Arial" w:eastAsia="Arial" w:hAnsi="Arial" w:cs="Arial"/>
          <w:color w:val="000000"/>
        </w:rPr>
        <w:t xml:space="preserve"> </w:t>
      </w:r>
    </w:p>
    <w:p w14:paraId="144CDA9A" w14:textId="60867CBD"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La Tabla 1</w:t>
      </w:r>
      <w:r w:rsidR="00476227">
        <w:rPr>
          <w:rFonts w:ascii="Arial" w:eastAsia="Arial" w:hAnsi="Arial" w:cs="Arial"/>
          <w:color w:val="000000"/>
        </w:rPr>
        <w:t>8</w:t>
      </w:r>
      <w:r w:rsidRPr="00242DFB">
        <w:rPr>
          <w:rFonts w:ascii="Arial" w:eastAsia="Arial" w:hAnsi="Arial" w:cs="Arial"/>
          <w:color w:val="000000"/>
        </w:rPr>
        <w:t xml:space="preserve"> muestra que la red farmacéutica de Capital Salud EPS-S cuenta con 14 puntos de dispensación para atender una población asignada de 898.109 afiliados con corte al 30 de abril de 2026 (sin incluir registros en portabilidad, según información suministrada por la EPS), lo que representa un promedio aproximado de 64.151 usuarios por punto de atención. No obstante, al analizar la distribución territorial de la población afiliada y la oferta disponible, se evidencian diferencias significativas entre localidades.</w:t>
      </w:r>
    </w:p>
    <w:p w14:paraId="636AF692"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19823AD3"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En este sentido, Ciudad Bolívar registra la mayor carga poblacional con 123.078 afiliados atendidos por un único punto de dispensación, seguida por Bosa con 120.604 usuarios, Kennedy con 114.588, Suba con 70.416, San Cristóbal con 69.259 y Engativá con 62.489 afiliados, todas ellas con un solo establecimiento de dispensación asignado. Esta situación refleja una alta concentración de demanda sobre un número limitado de puntos de atención, lo que podría afectar la capacidad </w:t>
      </w:r>
      <w:r w:rsidRPr="00242DFB">
        <w:rPr>
          <w:rFonts w:ascii="Arial" w:eastAsia="Arial" w:hAnsi="Arial" w:cs="Arial"/>
          <w:color w:val="000000"/>
        </w:rPr>
        <w:lastRenderedPageBreak/>
        <w:t>operativa de la red y generar mayores tiempos de espera, congestión en la prestación del servicio y desplazamientos más extensos para los usuarios que requieren acceder a medicamentos y demás tecnologías en salud.</w:t>
      </w:r>
    </w:p>
    <w:p w14:paraId="341766D4" w14:textId="77777777" w:rsidR="009F762E" w:rsidRPr="00242DFB" w:rsidRDefault="009F762E" w:rsidP="005B2285">
      <w:pPr>
        <w:spacing w:line="360" w:lineRule="auto"/>
        <w:jc w:val="both"/>
        <w:rPr>
          <w:rFonts w:ascii="Arial" w:hAnsi="Arial" w:cs="Arial"/>
          <w:color w:val="000000" w:themeColor="text1"/>
        </w:rPr>
      </w:pPr>
    </w:p>
    <w:p w14:paraId="00D09302" w14:textId="49B3ED59"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Adicionalmente, se observa que las localidades de Rafael Uribe </w:t>
      </w:r>
      <w:proofErr w:type="spellStart"/>
      <w:r w:rsidRPr="00242DFB">
        <w:rPr>
          <w:rFonts w:ascii="Arial" w:eastAsia="Arial" w:hAnsi="Arial" w:cs="Arial"/>
          <w:color w:val="000000"/>
        </w:rPr>
        <w:t>Uribe</w:t>
      </w:r>
      <w:proofErr w:type="spellEnd"/>
      <w:r w:rsidRPr="00242DFB">
        <w:rPr>
          <w:rFonts w:ascii="Arial" w:eastAsia="Arial" w:hAnsi="Arial" w:cs="Arial"/>
          <w:color w:val="000000"/>
        </w:rPr>
        <w:t>, con 62.702 afiliados; Santa Fe, con 32.461; Usaquén, con 28.413; Puente Aranda, con 20.505; y Los Mártires, con 19.635 usuarios asignados, no cuentan con puntos de dispensación contratados dentro de su territorio. Esta condición implica que la población residente debe desplazarse hacia otras localidades para acceder al servicio farmacéutico, incrementando la presión sobre los puntos receptores y configurando potenciales barrer</w:t>
      </w:r>
      <w:r w:rsidR="002002B1">
        <w:rPr>
          <w:rFonts w:ascii="Arial" w:eastAsia="Arial" w:hAnsi="Arial" w:cs="Arial"/>
          <w:color w:val="000000"/>
        </w:rPr>
        <w:t>a</w:t>
      </w:r>
      <w:r w:rsidRPr="00242DFB">
        <w:rPr>
          <w:rFonts w:ascii="Arial" w:eastAsia="Arial" w:hAnsi="Arial" w:cs="Arial"/>
          <w:color w:val="000000"/>
        </w:rPr>
        <w:t>s geográfic</w:t>
      </w:r>
      <w:r w:rsidR="003F66B4">
        <w:rPr>
          <w:rFonts w:ascii="Arial" w:eastAsia="Arial" w:hAnsi="Arial" w:cs="Arial"/>
          <w:color w:val="000000"/>
        </w:rPr>
        <w:t>a</w:t>
      </w:r>
      <w:r w:rsidRPr="00242DFB">
        <w:rPr>
          <w:rFonts w:ascii="Arial" w:eastAsia="Arial" w:hAnsi="Arial" w:cs="Arial"/>
          <w:color w:val="000000"/>
        </w:rPr>
        <w:t>s de acceso.</w:t>
      </w:r>
    </w:p>
    <w:p w14:paraId="5CA46BD9"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2ACA3F8C"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En contraste, la localidad de Barrios Unidos concentra 13.055 afiliados y dispone de dos puntos de dispensación, equivalente a una relación aproximada de 6.527 usuarios por punto. Esta situación evidencia una mayor disponibilidad relativa de oferta farmacéutica frente a la población asignada, lo que sugiere una distribución desigual de la capacidad instalada de la red y posibles oportunidades de optimización en función de la densidad poblacional y la demanda esperada de los servicios farmacéuticos.</w:t>
      </w:r>
    </w:p>
    <w:p w14:paraId="2BF4A963"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64131866"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La evaluación realizada evidencia desequilibrios en la distribución territorial de la red farmacéutica, al observarse diferencias entre la oferta disponible y la concentración de afiliados en algunas localidades, lo que podría generar limitaciones en el acceso oportuno a los servicios de dispensación. Particularmente, se identifican localidades con alta concentración de población afiliada y una oferta limitada de puntos de atención, así como territorios que no cuentan con servicios de dispensación dentro de su jurisdicción, situación que podría incrementar los tiempos y distancias de desplazamiento requeridos para acceder a medicamentos y demás tecnologías en salud.</w:t>
      </w:r>
    </w:p>
    <w:p w14:paraId="4B9BEE4D" w14:textId="77777777" w:rsidR="009F762E" w:rsidRPr="00242DFB" w:rsidRDefault="009F762E" w:rsidP="005B2285">
      <w:pPr>
        <w:spacing w:line="360" w:lineRule="auto"/>
        <w:jc w:val="both"/>
        <w:rPr>
          <w:rFonts w:ascii="Arial" w:hAnsi="Arial" w:cs="Arial"/>
          <w:color w:val="000000" w:themeColor="text1"/>
        </w:rPr>
      </w:pPr>
    </w:p>
    <w:p w14:paraId="3811D35E"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lastRenderedPageBreak/>
        <w:t xml:space="preserve">En consecuencia, resulta pertinente que la EPS evalúe la suficiencia y ubicación de la red farmacéutica contratada, con el fin de determinar si su capacidad de respuesta se encuentra alineada con la distribución de la población afiliada y las necesidades de atención identificadas. </w:t>
      </w:r>
      <w:bookmarkStart w:id="95" w:name="_Int_R5vKrxbq"/>
      <w:r w:rsidRPr="00242DFB">
        <w:rPr>
          <w:rFonts w:ascii="Arial" w:eastAsia="Arial" w:hAnsi="Arial" w:cs="Arial"/>
          <w:color w:val="000000"/>
        </w:rPr>
        <w:t>Asimismo, se considera necesario complementar este análisis con información relacionada con capacidad instalada, volumen de dispensación, tiempos efectivos de atención, demanda atendida y criterios de accesibilidad geográfica, que permitan valorar de manera integral la oportunidad y disponibilidad del servicio farmacéutico.</w:t>
      </w:r>
      <w:bookmarkEnd w:id="95"/>
    </w:p>
    <w:p w14:paraId="1EE69D5C"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102F8E98" w14:textId="44E8C052" w:rsidR="009F762E" w:rsidRPr="00242DFB" w:rsidRDefault="00435CD2" w:rsidP="005B2285">
      <w:pPr>
        <w:spacing w:line="360" w:lineRule="auto"/>
        <w:jc w:val="center"/>
        <w:rPr>
          <w:rFonts w:ascii="Arial" w:eastAsia="Arial" w:hAnsi="Arial" w:cs="Arial"/>
          <w:color w:val="000000" w:themeColor="text1"/>
        </w:rPr>
      </w:pPr>
      <w:r w:rsidRPr="00242DFB">
        <w:rPr>
          <w:rFonts w:ascii="Arial" w:hAnsi="Arial" w:cs="Arial"/>
          <w:noProof/>
          <w:color w:val="000000"/>
        </w:rPr>
        <w:drawing>
          <wp:anchor distT="0" distB="0" distL="114300" distR="114300" simplePos="0" relativeHeight="251664896" behindDoc="0" locked="0" layoutInCell="1" allowOverlap="1" wp14:anchorId="3BEA2528" wp14:editId="648EA2DD">
            <wp:simplePos x="0" y="0"/>
            <wp:positionH relativeFrom="column">
              <wp:posOffset>-699135</wp:posOffset>
            </wp:positionH>
            <wp:positionV relativeFrom="paragraph">
              <wp:posOffset>521970</wp:posOffset>
            </wp:positionV>
            <wp:extent cx="7162800" cy="4258310"/>
            <wp:effectExtent l="0" t="0" r="0" b="8890"/>
            <wp:wrapSquare wrapText="bothSides"/>
            <wp:docPr id="6"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margin">
              <wp14:pctWidth>0</wp14:pctWidth>
            </wp14:sizeRelH>
            <wp14:sizeRelV relativeFrom="margin">
              <wp14:pctHeight>0</wp14:pctHeight>
            </wp14:sizeRelV>
          </wp:anchor>
        </w:drawing>
      </w:r>
      <w:r w:rsidRPr="00242DFB">
        <w:rPr>
          <w:rFonts w:ascii="Arial" w:hAnsi="Arial" w:cs="Arial"/>
          <w:noProof/>
        </w:rPr>
        <mc:AlternateContent>
          <mc:Choice Requires="wps">
            <w:drawing>
              <wp:anchor distT="0" distB="0" distL="114300" distR="114300" simplePos="0" relativeHeight="251666944" behindDoc="0" locked="0" layoutInCell="1" allowOverlap="1" wp14:anchorId="3D1BED00" wp14:editId="6122199F">
                <wp:simplePos x="0" y="0"/>
                <wp:positionH relativeFrom="column">
                  <wp:posOffset>-699135</wp:posOffset>
                </wp:positionH>
                <wp:positionV relativeFrom="paragraph">
                  <wp:posOffset>64770</wp:posOffset>
                </wp:positionV>
                <wp:extent cx="7162800" cy="457200"/>
                <wp:effectExtent l="0" t="0" r="0" b="0"/>
                <wp:wrapSquare wrapText="bothSides"/>
                <wp:docPr id="18" name="Cuadro de texto 18"/>
                <wp:cNvGraphicFramePr/>
                <a:graphic xmlns:a="http://schemas.openxmlformats.org/drawingml/2006/main">
                  <a:graphicData uri="http://schemas.microsoft.com/office/word/2010/wordprocessingShape">
                    <wps:wsp>
                      <wps:cNvSpPr txBox="1"/>
                      <wps:spPr>
                        <a:xfrm>
                          <a:off x="0" y="0"/>
                          <a:ext cx="7162800" cy="457200"/>
                        </a:xfrm>
                        <a:prstGeom prst="rect">
                          <a:avLst/>
                        </a:prstGeom>
                        <a:solidFill>
                          <a:prstClr val="white"/>
                        </a:solidFill>
                        <a:ln>
                          <a:noFill/>
                        </a:ln>
                      </wps:spPr>
                      <wps:txbx>
                        <w:txbxContent>
                          <w:p w14:paraId="7617895E" w14:textId="6D572295" w:rsidR="00435CD2" w:rsidRPr="00435CD2" w:rsidRDefault="00435CD2" w:rsidP="00435CD2">
                            <w:pPr>
                              <w:pStyle w:val="Descripcin"/>
                              <w:jc w:val="center"/>
                              <w:rPr>
                                <w:rFonts w:ascii="Arial" w:hAnsi="Arial" w:cs="Arial"/>
                                <w:noProof/>
                                <w:color w:val="000000" w:themeColor="text1"/>
                                <w:sz w:val="24"/>
                                <w:szCs w:val="24"/>
                              </w:rPr>
                            </w:pPr>
                            <w:bookmarkStart w:id="96" w:name="_Toc233568860"/>
                            <w:r w:rsidRPr="00435CD2">
                              <w:rPr>
                                <w:rFonts w:ascii="Arial" w:hAnsi="Arial" w:cs="Arial"/>
                                <w:color w:val="000000" w:themeColor="text1"/>
                                <w:sz w:val="24"/>
                                <w:szCs w:val="24"/>
                              </w:rPr>
                              <w:t xml:space="preserve">Gráfica </w:t>
                            </w:r>
                            <w:r w:rsidRPr="00435CD2">
                              <w:rPr>
                                <w:rFonts w:ascii="Arial" w:hAnsi="Arial" w:cs="Arial"/>
                                <w:color w:val="000000" w:themeColor="text1"/>
                                <w:sz w:val="24"/>
                                <w:szCs w:val="24"/>
                              </w:rPr>
                              <w:fldChar w:fldCharType="begin"/>
                            </w:r>
                            <w:r w:rsidRPr="00435CD2">
                              <w:rPr>
                                <w:rFonts w:ascii="Arial" w:hAnsi="Arial" w:cs="Arial"/>
                                <w:color w:val="000000" w:themeColor="text1"/>
                                <w:sz w:val="24"/>
                                <w:szCs w:val="24"/>
                              </w:rPr>
                              <w:instrText xml:space="preserve"> SEQ Gráfica \* ARABIC </w:instrText>
                            </w:r>
                            <w:r w:rsidRPr="00435CD2">
                              <w:rPr>
                                <w:rFonts w:ascii="Arial" w:hAnsi="Arial" w:cs="Arial"/>
                                <w:color w:val="000000" w:themeColor="text1"/>
                                <w:sz w:val="24"/>
                                <w:szCs w:val="24"/>
                              </w:rPr>
                              <w:fldChar w:fldCharType="separate"/>
                            </w:r>
                            <w:r w:rsidR="004F456A">
                              <w:rPr>
                                <w:rFonts w:ascii="Arial" w:hAnsi="Arial" w:cs="Arial"/>
                                <w:noProof/>
                                <w:color w:val="000000" w:themeColor="text1"/>
                                <w:sz w:val="24"/>
                                <w:szCs w:val="24"/>
                              </w:rPr>
                              <w:t>4</w:t>
                            </w:r>
                            <w:r w:rsidRPr="00435CD2">
                              <w:rPr>
                                <w:rFonts w:ascii="Arial" w:hAnsi="Arial" w:cs="Arial"/>
                                <w:color w:val="000000" w:themeColor="text1"/>
                                <w:sz w:val="24"/>
                                <w:szCs w:val="24"/>
                              </w:rPr>
                              <w:fldChar w:fldCharType="end"/>
                            </w:r>
                            <w:r w:rsidRPr="00435CD2">
                              <w:rPr>
                                <w:rFonts w:ascii="Arial" w:hAnsi="Arial" w:cs="Arial"/>
                                <w:color w:val="000000" w:themeColor="text1"/>
                                <w:sz w:val="24"/>
                                <w:szCs w:val="24"/>
                              </w:rPr>
                              <w:t>. Relación población asegurada por localidad frente a puntos de dispensación, Capital Salud EPS-S</w:t>
                            </w:r>
                            <w:bookmarkEnd w:id="96"/>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D1BED00" id="Cuadro de texto 18" o:spid="_x0000_s1029" type="#_x0000_t202" style="position:absolute;left:0;text-align:left;margin-left:-55.05pt;margin-top:5.1pt;width:564pt;height:36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gPQGQIAAEIEAAAOAAAAZHJzL2Uyb0RvYy54bWysU01v2zAMvQ/YfxB0X5wEW1sYcYosRYYB&#10;QVsgLXpWZCkWIIsapcTufv0ofyRdt9Owi0yTFCm+97i4bWvLTgqDAVfw2WTKmXISSuMOBX9+2ny6&#10;4SxE4UphwamCv6rAb5cfPywan6s5VGBLhYyKuJA3vuBVjD7PsiArVYswAa8cBTVgLSL94iErUTRU&#10;vbbZfDq9yhrA0iNIFQJ57/ogX3b1tVYyPmgdVGS24PS22J3Ynft0ZsuFyA8ofGXk8AzxD6+ohXHU&#10;9FzqTkTBjmj+KFUbiRBAx4mEOgOtjVTdDDTNbPpuml0lvOpmIXCCP8MU/l9ZeX/a+Udksf0KLRGY&#10;AGl8yAM50zytxjp96aWM4gTh6xk21UYmyXk9u5rfTCkkKfb5yzXxkspkl9seQ/ymoGbJKDgSLR1a&#10;4rQNsU8dU1KzANaUG2Nt+kmBtUV2EkRhU5mohuK/ZVmXch2kW33B5MkuoyQrtvuWmfLNmHsoX2l6&#10;hF4YwcuNoX5bEeKjQFICTUXqjg90aAtNwWGwOKsAf/7Nn/KJIIpy1pCyCh5+HAUqzux3R9QlGY4G&#10;jsZ+NNyxXgNNOqO98bIz6QJGO5oaoX4h0a9SFwoJJ6lXweNormOvb1oaqVarLonE5kXcup2XqfSI&#10;61P7ItAPrETi8x5GzYn8HTl9bo/y6hhBm465hGuP4gA3CbXjfliqtAlv/7usy+ovfwEAAP//AwBQ&#10;SwMEFAAGAAgAAAAhADV7yGbfAAAACwEAAA8AAABkcnMvZG93bnJldi54bWxMjzFPwzAQhXck/oN1&#10;SCyotZ2hlBCnghY2GFqqzm58TaLG58h2mvTf404wnt6n974rVpPt2AV9aB0pkHMBDKlypqVawf7n&#10;c7YEFqImoztHqOCKAVbl/V2hc+NG2uJlF2uWSijkWkETY59zHqoGrQ5z1yOl7OS81TGdvubG6zGV&#10;245nQiy41S2lhUb3uG6wOu8Gq2Cx8cO4pfXTZv/xpb/7Oju8Xw9KPT5Mb6/AIk7xD4abflKHMjkd&#10;3UAmsE7BTEohE5sSkQG7EUI+vwA7KlhmGfCy4P9/KH8BAAD//wMAUEsBAi0AFAAGAAgAAAAhALaD&#10;OJL+AAAA4QEAABMAAAAAAAAAAAAAAAAAAAAAAFtDb250ZW50X1R5cGVzXS54bWxQSwECLQAUAAYA&#10;CAAAACEAOP0h/9YAAACUAQAACwAAAAAAAAAAAAAAAAAvAQAAX3JlbHMvLnJlbHNQSwECLQAUAAYA&#10;CAAAACEAvA4D0BkCAABCBAAADgAAAAAAAAAAAAAAAAAuAgAAZHJzL2Uyb0RvYy54bWxQSwECLQAU&#10;AAYACAAAACEANXvIZt8AAAALAQAADwAAAAAAAAAAAAAAAABzBAAAZHJzL2Rvd25yZXYueG1sUEsF&#10;BgAAAAAEAAQA8wAAAH8FAAAAAA==&#10;" stroked="f">
                <v:textbox inset="0,0,0,0">
                  <w:txbxContent>
                    <w:p w14:paraId="7617895E" w14:textId="6D572295" w:rsidR="00435CD2" w:rsidRPr="00435CD2" w:rsidRDefault="00435CD2" w:rsidP="00435CD2">
                      <w:pPr>
                        <w:pStyle w:val="Descripcin"/>
                        <w:jc w:val="center"/>
                        <w:rPr>
                          <w:rFonts w:ascii="Arial" w:hAnsi="Arial" w:cs="Arial"/>
                          <w:noProof/>
                          <w:color w:val="000000" w:themeColor="text1"/>
                          <w:sz w:val="24"/>
                          <w:szCs w:val="24"/>
                        </w:rPr>
                      </w:pPr>
                      <w:bookmarkStart w:id="97" w:name="_Toc233568860"/>
                      <w:r w:rsidRPr="00435CD2">
                        <w:rPr>
                          <w:rFonts w:ascii="Arial" w:hAnsi="Arial" w:cs="Arial"/>
                          <w:color w:val="000000" w:themeColor="text1"/>
                          <w:sz w:val="24"/>
                          <w:szCs w:val="24"/>
                        </w:rPr>
                        <w:t xml:space="preserve">Gráfica </w:t>
                      </w:r>
                      <w:r w:rsidRPr="00435CD2">
                        <w:rPr>
                          <w:rFonts w:ascii="Arial" w:hAnsi="Arial" w:cs="Arial"/>
                          <w:color w:val="000000" w:themeColor="text1"/>
                          <w:sz w:val="24"/>
                          <w:szCs w:val="24"/>
                        </w:rPr>
                        <w:fldChar w:fldCharType="begin"/>
                      </w:r>
                      <w:r w:rsidRPr="00435CD2">
                        <w:rPr>
                          <w:rFonts w:ascii="Arial" w:hAnsi="Arial" w:cs="Arial"/>
                          <w:color w:val="000000" w:themeColor="text1"/>
                          <w:sz w:val="24"/>
                          <w:szCs w:val="24"/>
                        </w:rPr>
                        <w:instrText xml:space="preserve"> SEQ Gráfica \* ARABIC </w:instrText>
                      </w:r>
                      <w:r w:rsidRPr="00435CD2">
                        <w:rPr>
                          <w:rFonts w:ascii="Arial" w:hAnsi="Arial" w:cs="Arial"/>
                          <w:color w:val="000000" w:themeColor="text1"/>
                          <w:sz w:val="24"/>
                          <w:szCs w:val="24"/>
                        </w:rPr>
                        <w:fldChar w:fldCharType="separate"/>
                      </w:r>
                      <w:r w:rsidR="004F456A">
                        <w:rPr>
                          <w:rFonts w:ascii="Arial" w:hAnsi="Arial" w:cs="Arial"/>
                          <w:noProof/>
                          <w:color w:val="000000" w:themeColor="text1"/>
                          <w:sz w:val="24"/>
                          <w:szCs w:val="24"/>
                        </w:rPr>
                        <w:t>4</w:t>
                      </w:r>
                      <w:r w:rsidRPr="00435CD2">
                        <w:rPr>
                          <w:rFonts w:ascii="Arial" w:hAnsi="Arial" w:cs="Arial"/>
                          <w:color w:val="000000" w:themeColor="text1"/>
                          <w:sz w:val="24"/>
                          <w:szCs w:val="24"/>
                        </w:rPr>
                        <w:fldChar w:fldCharType="end"/>
                      </w:r>
                      <w:r w:rsidRPr="00435CD2">
                        <w:rPr>
                          <w:rFonts w:ascii="Arial" w:hAnsi="Arial" w:cs="Arial"/>
                          <w:color w:val="000000" w:themeColor="text1"/>
                          <w:sz w:val="24"/>
                          <w:szCs w:val="24"/>
                        </w:rPr>
                        <w:t>. Relación población asegurada por localidad frente a puntos de dispensación, Capital Salud EPS-S</w:t>
                      </w:r>
                      <w:bookmarkEnd w:id="97"/>
                    </w:p>
                  </w:txbxContent>
                </v:textbox>
                <w10:wrap type="square"/>
              </v:shape>
            </w:pict>
          </mc:Fallback>
        </mc:AlternateContent>
      </w:r>
    </w:p>
    <w:p w14:paraId="0B7E0B3A" w14:textId="163AC8BB" w:rsidR="009F762E" w:rsidRPr="00242DFB" w:rsidRDefault="009F762E" w:rsidP="005B2285">
      <w:pPr>
        <w:spacing w:line="360" w:lineRule="auto"/>
        <w:rPr>
          <w:rFonts w:ascii="Arial" w:hAnsi="Arial" w:cs="Arial"/>
          <w:color w:val="000000" w:themeColor="text1"/>
        </w:rPr>
      </w:pPr>
    </w:p>
    <w:p w14:paraId="7D8177C6" w14:textId="166E9AF4" w:rsidR="009F762E" w:rsidRPr="00242DFB" w:rsidRDefault="00000000" w:rsidP="005B2285">
      <w:pPr>
        <w:spacing w:line="360" w:lineRule="auto"/>
        <w:jc w:val="both"/>
        <w:rPr>
          <w:rFonts w:ascii="Arial" w:hAnsi="Arial" w:cs="Arial"/>
          <w:color w:val="000000" w:themeColor="text1"/>
          <w:sz w:val="16"/>
          <w:szCs w:val="16"/>
        </w:rPr>
      </w:pPr>
      <w:r w:rsidRPr="00242DFB">
        <w:rPr>
          <w:rFonts w:ascii="Arial" w:hAnsi="Arial" w:cs="Arial"/>
          <w:color w:val="000000"/>
          <w:sz w:val="16"/>
          <w:szCs w:val="16"/>
        </w:rPr>
        <w:t xml:space="preserve">Fuente: Capital Salud EPS-S: Respuesta al requerimiento No. 026-EE-54444 de la Subdirección de Garantía del Aseguramiento, mediante la cual se remite información de la Red Prestadora por </w:t>
      </w:r>
      <w:r w:rsidR="006E0854">
        <w:rPr>
          <w:rFonts w:ascii="Arial" w:hAnsi="Arial" w:cs="Arial"/>
          <w:color w:val="000000"/>
          <w:sz w:val="16"/>
          <w:szCs w:val="16"/>
        </w:rPr>
        <w:t>Georreferenciación</w:t>
      </w:r>
      <w:r w:rsidRPr="00242DFB">
        <w:rPr>
          <w:rFonts w:ascii="Arial" w:hAnsi="Arial" w:cs="Arial"/>
          <w:color w:val="000000"/>
          <w:sz w:val="16"/>
          <w:szCs w:val="16"/>
        </w:rPr>
        <w:t xml:space="preserve"> (Afiliados Corte 30-04-2026 Sin incluir los registros en portabilidad información).</w:t>
      </w:r>
    </w:p>
    <w:p w14:paraId="6ADCE09C"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lastRenderedPageBreak/>
        <w:t xml:space="preserve"> </w:t>
      </w:r>
    </w:p>
    <w:p w14:paraId="36A1C047" w14:textId="1D192593"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Según la distribución territorial de la red contratada por Capital Salud EPS-S para la dispensación de medicamentos en Bogotá (ver gráfica 4), considerando la proporción promedio de </w:t>
      </w:r>
      <w:r w:rsidRPr="00242DFB">
        <w:rPr>
          <w:rFonts w:ascii="Arial" w:eastAsia="Arial" w:hAnsi="Arial" w:cs="Arial"/>
          <w:b/>
          <w:bCs/>
          <w:color w:val="000000"/>
        </w:rPr>
        <w:t>64.151</w:t>
      </w:r>
      <w:r w:rsidRPr="00242DFB">
        <w:rPr>
          <w:rFonts w:ascii="Arial" w:eastAsia="Arial" w:hAnsi="Arial" w:cs="Arial"/>
          <w:color w:val="000000"/>
        </w:rPr>
        <w:t xml:space="preserve"> afiliados por cada punto de dispensación disponible en el Distrito, permite identificar diferencias significativas entre la oferta de servicios farmacéuticos y la concentración de población afiliada en determinadas localidades afiliados, (equivalente a 0,155 puntos por cada 10.000 afiliados), Esta situación sugiere posibles desequilibrios en la distribución de la capacidad instalada de la red, particularmente en zonas con mayor demanda potencial de servicios. </w:t>
      </w:r>
    </w:p>
    <w:p w14:paraId="765A2427" w14:textId="77777777" w:rsidR="009F762E" w:rsidRPr="00242DFB" w:rsidRDefault="009F762E" w:rsidP="005B2285">
      <w:pPr>
        <w:spacing w:line="360" w:lineRule="auto"/>
        <w:jc w:val="both"/>
        <w:rPr>
          <w:rFonts w:ascii="Arial" w:hAnsi="Arial" w:cs="Arial"/>
          <w:color w:val="000000" w:themeColor="text1"/>
        </w:rPr>
      </w:pPr>
    </w:p>
    <w:p w14:paraId="7B29ED7E" w14:textId="77777777" w:rsidR="009F762E" w:rsidRPr="00242DFB"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t>La normatividad vigente establece que las Entidades Administradoras de Planes de Beneficios deben garantizar una red de servicios que cumpla con criterios de suficiencia, accesibilidad, oportunidad y capacidad instalada, de manera que la población afiliada pueda acceder efectivamente a los servicios requeridos. Aunque en Colombia no existe un parámetro específico que determine el número de puntos de dispensación farmacéutica en relación con la cantidad de afiliados, sí se exige que la red responda adecuadamente a las necesidades de la población cubierta y a las características territoriales donde se presta el servicio. En este sentido, la planeación de la red debe considerar aspectos como la concentración de usuarios, la distribución geográfica y la capacidad operativa de los puntos de atención.</w:t>
      </w:r>
    </w:p>
    <w:p w14:paraId="241235EB" w14:textId="77777777" w:rsidR="00435CD2" w:rsidRPr="00242DFB" w:rsidRDefault="00435CD2" w:rsidP="005B2285">
      <w:pPr>
        <w:spacing w:line="360" w:lineRule="auto"/>
        <w:jc w:val="both"/>
        <w:rPr>
          <w:rFonts w:ascii="Arial" w:hAnsi="Arial" w:cs="Arial"/>
          <w:color w:val="000000" w:themeColor="text1"/>
        </w:rPr>
      </w:pPr>
    </w:p>
    <w:p w14:paraId="1288E866" w14:textId="77777777" w:rsidR="009F762E" w:rsidRPr="00242DFB"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t>Bajo este contexto, el análisis realizado evidencia que en varias localidades existe una elevada concentración de afiliados por punto de dispensación farmacéutico, situación que puede exceder la capacidad de respuesta de la red disponible. Esta condición se refleja en mayores tiempos de espera, congestión en los puntos de atención, incremento de entregas parciales o diferidas de medicamentos y aumento de trámites administrativos relacionados con reformulaciones, nuevas autorizaciones y desplazamientos repetitivos por parte de los usuarios. Lo anterior permite identificar una posible brecha entre la demanda real de servicios farmacéuticos y la capacidad instalada disponible para atenderla.</w:t>
      </w:r>
    </w:p>
    <w:p w14:paraId="6A58ABFD" w14:textId="77777777" w:rsidR="00435CD2" w:rsidRPr="00242DFB" w:rsidRDefault="00435CD2" w:rsidP="005B2285">
      <w:pPr>
        <w:spacing w:line="360" w:lineRule="auto"/>
        <w:jc w:val="both"/>
        <w:rPr>
          <w:rFonts w:ascii="Arial" w:hAnsi="Arial" w:cs="Arial"/>
          <w:color w:val="000000" w:themeColor="text1"/>
        </w:rPr>
      </w:pPr>
    </w:p>
    <w:p w14:paraId="29483AA4" w14:textId="77777777" w:rsidR="009F762E" w:rsidRPr="00242DFB"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lastRenderedPageBreak/>
        <w:t>Las implicaciones de esta situación trascienden el ámbito operativo y pueden generar efectos directos sobre la atención en salud de la población afiliada. La inoportunidad en la entrega de medicamentos puede afectar la continuidad de los tratamientos y comprometer la adherencia terapéutica, especialmente en pacientes con enfermedades crónicas, gestantes, adultos mayores y personas con condiciones de salud de alto riesgo. Como consecuencia, aumenta la probabilidad de descompensaciones clínicas, eventos adversos, consultas por urgencias y hospitalizaciones potencialmente evitables. Adicionalmente, las dificultades de acceso pueden trasladar cargas económicas a los usuarios, quienes en algunos casos deben asumir costos asociados a la compra de medicamentos, transporte, desplazamientos adicionales, afectando de manera más significativa a la población en condiciones de vulnerabilidad.</w:t>
      </w:r>
    </w:p>
    <w:p w14:paraId="13522FEE" w14:textId="77777777" w:rsidR="00435CD2" w:rsidRPr="00242DFB" w:rsidRDefault="00435CD2" w:rsidP="005B2285">
      <w:pPr>
        <w:spacing w:line="360" w:lineRule="auto"/>
        <w:jc w:val="both"/>
        <w:rPr>
          <w:rFonts w:ascii="Arial" w:hAnsi="Arial" w:cs="Arial"/>
          <w:color w:val="000000" w:themeColor="text1"/>
        </w:rPr>
      </w:pPr>
    </w:p>
    <w:p w14:paraId="52FE7826"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En consecuencia, la información analizada permite concluir que la alta concentración de afiliados frente a una oferta limitada de puntos de dispensación farmacéutica, sumada a la entrega incompleta de las fórmulas dispensadas generando medicamentos pendientes, constituye un indicio técnico de posible insuficiencia de la red de dispensación. Esta situación podría afectar la accesibilidad efectiva de los usuarios, la continuidad de los tratamientos y los resultados en salud de la población afiliada, por lo que resulta necesario fortalecer las estrategias de planeación, seguimiento y ampliación de la capacidad instalada de la red, garantizando que la oferta de servicios responda de manera adecuada a las necesidades reales de la población cubierta.</w:t>
      </w:r>
    </w:p>
    <w:p w14:paraId="07542A17"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42DF777E" w14:textId="77777777" w:rsidR="009F762E" w:rsidRPr="00242DFB" w:rsidRDefault="00000000" w:rsidP="005B2285">
      <w:pPr>
        <w:pStyle w:val="Ttulo2"/>
        <w:numPr>
          <w:ilvl w:val="1"/>
          <w:numId w:val="7"/>
        </w:numPr>
        <w:spacing w:before="0" w:line="360" w:lineRule="auto"/>
        <w:jc w:val="both"/>
        <w:rPr>
          <w:rFonts w:ascii="Arial" w:hAnsi="Arial" w:cs="Arial"/>
          <w:b/>
          <w:bCs/>
          <w:color w:val="000000"/>
          <w:sz w:val="24"/>
          <w:szCs w:val="24"/>
        </w:rPr>
      </w:pPr>
      <w:bookmarkStart w:id="98" w:name="_Toc233574848"/>
      <w:r w:rsidRPr="00242DFB">
        <w:rPr>
          <w:rFonts w:ascii="Arial" w:hAnsi="Arial" w:cs="Arial"/>
          <w:b/>
          <w:bCs/>
          <w:color w:val="000000"/>
          <w:sz w:val="24"/>
          <w:szCs w:val="24"/>
        </w:rPr>
        <w:t>Análisis por cohorte priorizada 2025: solicitudes, pendientes, no entrega efectiva y entrega efectiva de medicamentos (enero-octubre de 2025)</w:t>
      </w:r>
      <w:bookmarkEnd w:id="98"/>
    </w:p>
    <w:p w14:paraId="11F7ED06"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6F4CC742"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El análisis realizado se centró en las cohortes de cáncer, enfermedad renal crónica (ERC), artritis reumatoide, pacientes trasplantados y enfermedades huérfanas, debido a que corresponden a grupos con una elevada vulnerabilidad clínica y una alta dependencia de tratamientos farmacológicos continuos. Además, se trata de </w:t>
      </w:r>
      <w:r w:rsidRPr="00242DFB">
        <w:rPr>
          <w:rFonts w:ascii="Arial" w:eastAsia="Arial" w:hAnsi="Arial" w:cs="Arial"/>
          <w:color w:val="000000"/>
        </w:rPr>
        <w:lastRenderedPageBreak/>
        <w:t>poblaciones que demandan un seguimiento permanente por el riesgo que representa cualquier interrupción en las terapias prescritas, así como por el impacto asistencial y financiero asociado a su atención.</w:t>
      </w:r>
    </w:p>
    <w:p w14:paraId="6F852523"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61EE9AC9" w14:textId="77777777" w:rsidR="009F762E" w:rsidRPr="00242DFB"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t>En estos casos, las dificultades relacionadas con el suministro de medicamentos pueden generar consecuencias inmediatas sobre la evolución de la enfermedad, favoreciendo el deterioro del estado de salud, la aparición de complicaciones, el incremento de eventos clínicos evitables y una mayor utilización de servicios hospitalarios y de urgencias. De igual manera, estas situaciones suelen reflejarse en un aumento de las reclamaciones de los usuarios a través de PQR orientadas a garantizar el acceso a los tratamientos ordenados; por esta razón, el análisis segmentado por cohortes resulta una herramienta relevante para identificar el nivel de riesgo asociado a los incumplimientos en la dispensación farmacéutica. Más allá de los resultados generales, este enfoque permite establecer cuáles grupos poblacionales podrían verse más afectados por las barreras de acceso a medicamentos y dónde las consecuencias pueden tener una mayor repercusión sobre la continuidad de la atención y los desenlaces en salud de los usuarios de Capital Salud EPS-S.</w:t>
      </w:r>
    </w:p>
    <w:p w14:paraId="10B31F6C" w14:textId="77777777" w:rsidR="00536CF7" w:rsidRPr="00242DFB" w:rsidRDefault="00536CF7" w:rsidP="005B2285">
      <w:pPr>
        <w:spacing w:line="360" w:lineRule="auto"/>
        <w:jc w:val="both"/>
        <w:rPr>
          <w:rFonts w:ascii="Arial" w:hAnsi="Arial" w:cs="Arial"/>
          <w:color w:val="000000" w:themeColor="text1"/>
        </w:rPr>
      </w:pPr>
    </w:p>
    <w:p w14:paraId="19B50097" w14:textId="77777777" w:rsidR="009F762E" w:rsidRPr="00242DFB"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t>A continuación, se desarrolla la revisión mensual correspondiente al periodo enero-octubre de 2025 sobre el comportamiento de la dispensación de medicamentos en las cohortes priorizadas de Capital Salud EPS-S, con el propósito de analizar el acceso efectivo a los tratamientos y la garantía de continuidad en la atención farmacológica de grupos poblacionales con condiciones de salud de especial seguimiento.</w:t>
      </w:r>
    </w:p>
    <w:p w14:paraId="38F231B7" w14:textId="77777777" w:rsidR="00536CF7" w:rsidRPr="00242DFB" w:rsidRDefault="00536CF7" w:rsidP="005B2285">
      <w:pPr>
        <w:spacing w:line="360" w:lineRule="auto"/>
        <w:jc w:val="both"/>
        <w:rPr>
          <w:rFonts w:ascii="Arial" w:hAnsi="Arial" w:cs="Arial"/>
          <w:color w:val="000000" w:themeColor="text1"/>
        </w:rPr>
      </w:pPr>
    </w:p>
    <w:p w14:paraId="4FE46617" w14:textId="77777777" w:rsidR="009F762E" w:rsidRPr="00242DFB"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t xml:space="preserve">Para este análisis se integran los registros de medicamentos solicitados, medicamentos pendientes de suministro, pendientes sin evidencia de entrega efectiva al momento del reporte de información y los indicadores de cumplimiento en la dispensación. La evaluación conjunta de estas variables permite reconocer comportamientos atípicos, cambios relevantes y posibles discrepancias en la </w:t>
      </w:r>
      <w:r w:rsidRPr="00242DFB">
        <w:rPr>
          <w:rFonts w:ascii="Arial" w:eastAsia="Arial" w:hAnsi="Arial" w:cs="Arial"/>
          <w:color w:val="000000"/>
        </w:rPr>
        <w:lastRenderedPageBreak/>
        <w:t>información, que podrían estar relacionadas con dificultades en la gestión del suministro, limitaciones en la capacidad operativa o debilidades en los procesos de reporte y consolidación de datos.</w:t>
      </w:r>
    </w:p>
    <w:p w14:paraId="5C516D1F" w14:textId="77777777" w:rsidR="00A86A17" w:rsidRDefault="00A86A17" w:rsidP="005B2285">
      <w:pPr>
        <w:spacing w:line="360" w:lineRule="auto"/>
        <w:jc w:val="both"/>
        <w:rPr>
          <w:rFonts w:ascii="Arial" w:eastAsia="Arial" w:hAnsi="Arial" w:cs="Arial"/>
          <w:color w:val="000000"/>
        </w:rPr>
      </w:pPr>
    </w:p>
    <w:p w14:paraId="082D53E7" w14:textId="5ECF9343"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Este abordaje facilita una comprensión más amplia del comportamiento observado, permitiendo valorar no solo la dimensión de las situaciones identificadas, sino también las posibles repercusiones sobre la adherencia a los tratamientos, la estabilidad clínica de los pacientes y la ocurrencia de desenlaces adversos potencialmente prevenibles en la población afiliada a Capital Salud EPS-S.</w:t>
      </w:r>
    </w:p>
    <w:p w14:paraId="170A5BD8" w14:textId="78F0714B" w:rsidR="00536CF7" w:rsidRPr="00242DFB" w:rsidRDefault="00536CF7" w:rsidP="005B2285">
      <w:pPr>
        <w:pStyle w:val="Descripcin"/>
        <w:keepNext/>
        <w:spacing w:after="0"/>
        <w:jc w:val="center"/>
        <w:rPr>
          <w:rFonts w:ascii="Arial" w:hAnsi="Arial" w:cs="Arial"/>
          <w:color w:val="000000" w:themeColor="text1"/>
          <w:sz w:val="24"/>
          <w:szCs w:val="24"/>
        </w:rPr>
      </w:pPr>
      <w:bookmarkStart w:id="99" w:name="_Toc233574879"/>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19</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Medicamentos solicitados por cohorte priorizada, serie mensual enero-octubre de 2025</w:t>
      </w:r>
      <w:bookmarkEnd w:id="99"/>
    </w:p>
    <w:tbl>
      <w:tblPr>
        <w:tblStyle w:val="Tablaconcuadrcula"/>
        <w:tblW w:w="10910" w:type="dxa"/>
        <w:jc w:val="center"/>
        <w:tblLayout w:type="fixed"/>
        <w:tblLook w:val="04A0" w:firstRow="1" w:lastRow="0" w:firstColumn="1" w:lastColumn="0" w:noHBand="0" w:noVBand="1"/>
      </w:tblPr>
      <w:tblGrid>
        <w:gridCol w:w="1826"/>
        <w:gridCol w:w="796"/>
        <w:gridCol w:w="795"/>
        <w:gridCol w:w="794"/>
        <w:gridCol w:w="795"/>
        <w:gridCol w:w="795"/>
        <w:gridCol w:w="796"/>
        <w:gridCol w:w="795"/>
        <w:gridCol w:w="794"/>
        <w:gridCol w:w="795"/>
        <w:gridCol w:w="796"/>
        <w:gridCol w:w="1133"/>
      </w:tblGrid>
      <w:tr w:rsidR="009F762E" w:rsidRPr="00242DFB" w14:paraId="6F1E6485" w14:textId="77777777" w:rsidTr="00894C96">
        <w:trPr>
          <w:cantSplit/>
          <w:trHeight w:val="335"/>
          <w:jc w:val="center"/>
        </w:trPr>
        <w:tc>
          <w:tcPr>
            <w:tcW w:w="1826" w:type="dxa"/>
            <w:vMerge w:val="restart"/>
            <w:vAlign w:val="center"/>
          </w:tcPr>
          <w:p w14:paraId="533A8951" w14:textId="77777777" w:rsidR="009F762E" w:rsidRPr="00242DFB" w:rsidRDefault="00000000" w:rsidP="005B2285">
            <w:pPr>
              <w:spacing w:line="360" w:lineRule="auto"/>
              <w:rPr>
                <w:rFonts w:ascii="Arial" w:hAnsi="Arial" w:cs="Arial"/>
                <w:b/>
                <w:bCs/>
                <w:color w:val="000000" w:themeColor="text1"/>
                <w:sz w:val="22"/>
                <w:szCs w:val="22"/>
              </w:rPr>
            </w:pPr>
            <w:r w:rsidRPr="00242DFB">
              <w:rPr>
                <w:rFonts w:ascii="Arial" w:hAnsi="Arial" w:cs="Arial"/>
                <w:b/>
                <w:bCs/>
                <w:color w:val="000000" w:themeColor="text1"/>
                <w:kern w:val="2"/>
                <w:sz w:val="22"/>
                <w:szCs w:val="22"/>
              </w:rPr>
              <w:t xml:space="preserve">COHORTE </w:t>
            </w:r>
          </w:p>
        </w:tc>
        <w:tc>
          <w:tcPr>
            <w:tcW w:w="9084" w:type="dxa"/>
            <w:gridSpan w:val="11"/>
            <w:vAlign w:val="center"/>
          </w:tcPr>
          <w:p w14:paraId="07B2BD8C" w14:textId="77777777" w:rsidR="009F762E" w:rsidRPr="00242DFB" w:rsidRDefault="00000000" w:rsidP="005B2285">
            <w:pPr>
              <w:spacing w:line="360" w:lineRule="auto"/>
              <w:jc w:val="center"/>
              <w:rPr>
                <w:rFonts w:ascii="Arial" w:hAnsi="Arial" w:cs="Arial"/>
                <w:b/>
                <w:bCs/>
                <w:color w:val="000000" w:themeColor="text1"/>
                <w:sz w:val="22"/>
                <w:szCs w:val="22"/>
              </w:rPr>
            </w:pPr>
            <w:r w:rsidRPr="00242DFB">
              <w:rPr>
                <w:rFonts w:ascii="Arial" w:hAnsi="Arial" w:cs="Arial"/>
                <w:b/>
                <w:bCs/>
                <w:color w:val="000000" w:themeColor="text1"/>
                <w:kern w:val="2"/>
                <w:sz w:val="22"/>
                <w:szCs w:val="22"/>
              </w:rPr>
              <w:t xml:space="preserve">Medicamentos Solicitados </w:t>
            </w:r>
          </w:p>
        </w:tc>
      </w:tr>
      <w:tr w:rsidR="009F762E" w:rsidRPr="00242DFB" w14:paraId="50525B82" w14:textId="77777777" w:rsidTr="00894C96">
        <w:trPr>
          <w:cantSplit/>
          <w:trHeight w:val="335"/>
          <w:jc w:val="center"/>
        </w:trPr>
        <w:tc>
          <w:tcPr>
            <w:tcW w:w="1826" w:type="dxa"/>
            <w:vMerge/>
            <w:vAlign w:val="center"/>
          </w:tcPr>
          <w:p w14:paraId="7C033926" w14:textId="77777777" w:rsidR="009F762E" w:rsidRPr="00242DFB" w:rsidRDefault="009F762E" w:rsidP="005B2285">
            <w:pPr>
              <w:spacing w:line="360" w:lineRule="auto"/>
              <w:jc w:val="center"/>
              <w:rPr>
                <w:rFonts w:ascii="Arial" w:hAnsi="Arial" w:cs="Arial"/>
                <w:b/>
                <w:bCs/>
                <w:color w:val="000000" w:themeColor="text1"/>
                <w:sz w:val="22"/>
                <w:szCs w:val="22"/>
              </w:rPr>
            </w:pPr>
          </w:p>
        </w:tc>
        <w:tc>
          <w:tcPr>
            <w:tcW w:w="796" w:type="dxa"/>
            <w:vAlign w:val="center"/>
          </w:tcPr>
          <w:p w14:paraId="22B46A4E" w14:textId="77777777" w:rsidR="009F762E" w:rsidRPr="00242DFB" w:rsidRDefault="00000000" w:rsidP="005B2285">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ene-25</w:t>
            </w:r>
          </w:p>
        </w:tc>
        <w:tc>
          <w:tcPr>
            <w:tcW w:w="795" w:type="dxa"/>
            <w:vAlign w:val="center"/>
          </w:tcPr>
          <w:p w14:paraId="7E5F03C8" w14:textId="77777777" w:rsidR="009F762E" w:rsidRPr="00242DFB" w:rsidRDefault="00000000" w:rsidP="005B2285">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feb-25</w:t>
            </w:r>
          </w:p>
        </w:tc>
        <w:tc>
          <w:tcPr>
            <w:tcW w:w="794" w:type="dxa"/>
            <w:vAlign w:val="center"/>
          </w:tcPr>
          <w:p w14:paraId="1E20FA82" w14:textId="77777777" w:rsidR="009F762E" w:rsidRPr="00242DFB" w:rsidRDefault="00000000" w:rsidP="005B2285">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mar-25</w:t>
            </w:r>
          </w:p>
        </w:tc>
        <w:tc>
          <w:tcPr>
            <w:tcW w:w="795" w:type="dxa"/>
            <w:vAlign w:val="center"/>
          </w:tcPr>
          <w:p w14:paraId="72370199" w14:textId="77777777" w:rsidR="009F762E" w:rsidRPr="00242DFB" w:rsidRDefault="00000000" w:rsidP="005B2285">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abr-25</w:t>
            </w:r>
          </w:p>
        </w:tc>
        <w:tc>
          <w:tcPr>
            <w:tcW w:w="795" w:type="dxa"/>
            <w:vAlign w:val="center"/>
          </w:tcPr>
          <w:p w14:paraId="43454983" w14:textId="77777777" w:rsidR="009F762E" w:rsidRPr="00242DFB" w:rsidRDefault="00000000" w:rsidP="005B2285">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may-25</w:t>
            </w:r>
          </w:p>
        </w:tc>
        <w:tc>
          <w:tcPr>
            <w:tcW w:w="796" w:type="dxa"/>
            <w:vAlign w:val="center"/>
          </w:tcPr>
          <w:p w14:paraId="5421F50A" w14:textId="77777777" w:rsidR="009F762E" w:rsidRPr="00242DFB" w:rsidRDefault="00000000" w:rsidP="005B2285">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jun-25</w:t>
            </w:r>
          </w:p>
        </w:tc>
        <w:tc>
          <w:tcPr>
            <w:tcW w:w="795" w:type="dxa"/>
            <w:vAlign w:val="center"/>
          </w:tcPr>
          <w:p w14:paraId="35C2614B" w14:textId="77777777" w:rsidR="009F762E" w:rsidRPr="00242DFB" w:rsidRDefault="00000000" w:rsidP="005B2285">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jul-25</w:t>
            </w:r>
          </w:p>
        </w:tc>
        <w:tc>
          <w:tcPr>
            <w:tcW w:w="794" w:type="dxa"/>
            <w:vAlign w:val="center"/>
          </w:tcPr>
          <w:p w14:paraId="7D1B39DB" w14:textId="77777777" w:rsidR="009F762E" w:rsidRPr="00242DFB" w:rsidRDefault="00000000" w:rsidP="005B2285">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ago-25</w:t>
            </w:r>
          </w:p>
        </w:tc>
        <w:tc>
          <w:tcPr>
            <w:tcW w:w="795" w:type="dxa"/>
            <w:vAlign w:val="center"/>
          </w:tcPr>
          <w:p w14:paraId="18878EEE" w14:textId="77777777" w:rsidR="009F762E" w:rsidRPr="00242DFB" w:rsidRDefault="00000000" w:rsidP="005B2285">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sep-25</w:t>
            </w:r>
          </w:p>
        </w:tc>
        <w:tc>
          <w:tcPr>
            <w:tcW w:w="796" w:type="dxa"/>
            <w:vAlign w:val="center"/>
          </w:tcPr>
          <w:p w14:paraId="23830A6B" w14:textId="77777777" w:rsidR="009F762E" w:rsidRPr="00242DFB" w:rsidRDefault="00000000" w:rsidP="005B2285">
            <w:pPr>
              <w:spacing w:line="360" w:lineRule="auto"/>
              <w:jc w:val="center"/>
              <w:rPr>
                <w:rFonts w:ascii="Arial" w:hAnsi="Arial" w:cs="Arial"/>
                <w:b/>
                <w:bCs/>
                <w:color w:val="000000" w:themeColor="text1"/>
                <w:sz w:val="16"/>
                <w:szCs w:val="16"/>
              </w:rPr>
            </w:pPr>
            <w:r w:rsidRPr="00242DFB">
              <w:rPr>
                <w:rFonts w:ascii="Arial" w:hAnsi="Arial" w:cs="Arial"/>
                <w:b/>
                <w:bCs/>
                <w:color w:val="000000" w:themeColor="text1"/>
                <w:kern w:val="2"/>
                <w:sz w:val="16"/>
                <w:szCs w:val="16"/>
              </w:rPr>
              <w:t>oct-25</w:t>
            </w:r>
          </w:p>
        </w:tc>
        <w:tc>
          <w:tcPr>
            <w:tcW w:w="1133" w:type="dxa"/>
            <w:vAlign w:val="center"/>
          </w:tcPr>
          <w:p w14:paraId="7533690F" w14:textId="77777777" w:rsidR="009F762E" w:rsidRPr="00242DFB" w:rsidRDefault="00000000" w:rsidP="005B2285">
            <w:pPr>
              <w:spacing w:line="360" w:lineRule="auto"/>
              <w:jc w:val="center"/>
              <w:rPr>
                <w:rFonts w:ascii="Arial" w:hAnsi="Arial" w:cs="Arial"/>
                <w:b/>
                <w:bCs/>
                <w:color w:val="000000" w:themeColor="text1"/>
                <w:sz w:val="22"/>
                <w:szCs w:val="22"/>
              </w:rPr>
            </w:pPr>
            <w:r w:rsidRPr="00242DFB">
              <w:rPr>
                <w:rFonts w:ascii="Arial" w:hAnsi="Arial" w:cs="Arial"/>
                <w:b/>
                <w:bCs/>
                <w:color w:val="000000" w:themeColor="text1"/>
                <w:kern w:val="2"/>
                <w:sz w:val="22"/>
                <w:szCs w:val="22"/>
              </w:rPr>
              <w:t>TOTAL</w:t>
            </w:r>
          </w:p>
        </w:tc>
      </w:tr>
      <w:tr w:rsidR="009F762E" w:rsidRPr="00242DFB" w14:paraId="6C61C713" w14:textId="77777777" w:rsidTr="00894C96">
        <w:trPr>
          <w:cantSplit/>
          <w:trHeight w:val="335"/>
          <w:jc w:val="center"/>
        </w:trPr>
        <w:tc>
          <w:tcPr>
            <w:tcW w:w="1826" w:type="dxa"/>
            <w:vAlign w:val="center"/>
          </w:tcPr>
          <w:p w14:paraId="028D7C32"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Cáncer</w:t>
            </w:r>
          </w:p>
        </w:tc>
        <w:tc>
          <w:tcPr>
            <w:tcW w:w="796" w:type="dxa"/>
            <w:vAlign w:val="center"/>
          </w:tcPr>
          <w:p w14:paraId="08E24835"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19.601</w:t>
            </w:r>
          </w:p>
        </w:tc>
        <w:tc>
          <w:tcPr>
            <w:tcW w:w="795" w:type="dxa"/>
            <w:vAlign w:val="center"/>
          </w:tcPr>
          <w:p w14:paraId="6BF8DC04"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32.783</w:t>
            </w:r>
          </w:p>
        </w:tc>
        <w:tc>
          <w:tcPr>
            <w:tcW w:w="794" w:type="dxa"/>
            <w:vAlign w:val="center"/>
          </w:tcPr>
          <w:p w14:paraId="451D7037"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20.345</w:t>
            </w:r>
          </w:p>
        </w:tc>
        <w:tc>
          <w:tcPr>
            <w:tcW w:w="795" w:type="dxa"/>
            <w:vAlign w:val="center"/>
          </w:tcPr>
          <w:p w14:paraId="1566D8C2"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16.273</w:t>
            </w:r>
          </w:p>
        </w:tc>
        <w:tc>
          <w:tcPr>
            <w:tcW w:w="795" w:type="dxa"/>
            <w:vAlign w:val="center"/>
          </w:tcPr>
          <w:p w14:paraId="259637BC"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17.434</w:t>
            </w:r>
          </w:p>
        </w:tc>
        <w:tc>
          <w:tcPr>
            <w:tcW w:w="796" w:type="dxa"/>
            <w:vAlign w:val="center"/>
          </w:tcPr>
          <w:p w14:paraId="0EE4F60D"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16.806</w:t>
            </w:r>
          </w:p>
        </w:tc>
        <w:tc>
          <w:tcPr>
            <w:tcW w:w="795" w:type="dxa"/>
            <w:vAlign w:val="center"/>
          </w:tcPr>
          <w:p w14:paraId="00C00088"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20.509</w:t>
            </w:r>
          </w:p>
        </w:tc>
        <w:tc>
          <w:tcPr>
            <w:tcW w:w="794" w:type="dxa"/>
            <w:vAlign w:val="center"/>
          </w:tcPr>
          <w:p w14:paraId="60E11089"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21.500</w:t>
            </w:r>
          </w:p>
        </w:tc>
        <w:tc>
          <w:tcPr>
            <w:tcW w:w="795" w:type="dxa"/>
            <w:vAlign w:val="center"/>
          </w:tcPr>
          <w:p w14:paraId="35443B47"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23.240</w:t>
            </w:r>
          </w:p>
        </w:tc>
        <w:tc>
          <w:tcPr>
            <w:tcW w:w="796" w:type="dxa"/>
            <w:vAlign w:val="center"/>
          </w:tcPr>
          <w:p w14:paraId="15A2DA21"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26.189</w:t>
            </w:r>
          </w:p>
        </w:tc>
        <w:tc>
          <w:tcPr>
            <w:tcW w:w="1133" w:type="dxa"/>
            <w:vAlign w:val="center"/>
          </w:tcPr>
          <w:p w14:paraId="2396D478"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214.680</w:t>
            </w:r>
          </w:p>
        </w:tc>
      </w:tr>
      <w:tr w:rsidR="009F762E" w:rsidRPr="00242DFB" w14:paraId="010DD104" w14:textId="77777777" w:rsidTr="00894C96">
        <w:trPr>
          <w:cantSplit/>
          <w:trHeight w:val="335"/>
          <w:jc w:val="center"/>
        </w:trPr>
        <w:tc>
          <w:tcPr>
            <w:tcW w:w="1826" w:type="dxa"/>
            <w:vAlign w:val="center"/>
          </w:tcPr>
          <w:p w14:paraId="7E1F08AD"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Artritis</w:t>
            </w:r>
          </w:p>
        </w:tc>
        <w:tc>
          <w:tcPr>
            <w:tcW w:w="796" w:type="dxa"/>
            <w:vAlign w:val="center"/>
          </w:tcPr>
          <w:p w14:paraId="079CE0E4"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7.410</w:t>
            </w:r>
          </w:p>
        </w:tc>
        <w:tc>
          <w:tcPr>
            <w:tcW w:w="795" w:type="dxa"/>
            <w:vAlign w:val="center"/>
          </w:tcPr>
          <w:p w14:paraId="286C510A"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11.330</w:t>
            </w:r>
          </w:p>
        </w:tc>
        <w:tc>
          <w:tcPr>
            <w:tcW w:w="794" w:type="dxa"/>
            <w:vAlign w:val="center"/>
          </w:tcPr>
          <w:p w14:paraId="5E6DA7AD"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7.659</w:t>
            </w:r>
          </w:p>
        </w:tc>
        <w:tc>
          <w:tcPr>
            <w:tcW w:w="795" w:type="dxa"/>
            <w:vAlign w:val="center"/>
          </w:tcPr>
          <w:p w14:paraId="2FC676C8"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6.691</w:t>
            </w:r>
          </w:p>
        </w:tc>
        <w:tc>
          <w:tcPr>
            <w:tcW w:w="795" w:type="dxa"/>
            <w:vAlign w:val="center"/>
          </w:tcPr>
          <w:p w14:paraId="6BC7B5D0"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7.590</w:t>
            </w:r>
          </w:p>
        </w:tc>
        <w:tc>
          <w:tcPr>
            <w:tcW w:w="796" w:type="dxa"/>
            <w:vAlign w:val="center"/>
          </w:tcPr>
          <w:p w14:paraId="6796E0A0"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3.016</w:t>
            </w:r>
          </w:p>
        </w:tc>
        <w:tc>
          <w:tcPr>
            <w:tcW w:w="795" w:type="dxa"/>
            <w:vAlign w:val="center"/>
          </w:tcPr>
          <w:p w14:paraId="223441E7"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8.423</w:t>
            </w:r>
          </w:p>
        </w:tc>
        <w:tc>
          <w:tcPr>
            <w:tcW w:w="794" w:type="dxa"/>
            <w:vAlign w:val="center"/>
          </w:tcPr>
          <w:p w14:paraId="49D10459"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8.310</w:t>
            </w:r>
          </w:p>
        </w:tc>
        <w:tc>
          <w:tcPr>
            <w:tcW w:w="795" w:type="dxa"/>
            <w:vAlign w:val="center"/>
          </w:tcPr>
          <w:p w14:paraId="72A0A478"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8.955</w:t>
            </w:r>
          </w:p>
        </w:tc>
        <w:tc>
          <w:tcPr>
            <w:tcW w:w="796" w:type="dxa"/>
            <w:vAlign w:val="center"/>
          </w:tcPr>
          <w:p w14:paraId="17D27D24"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9.868</w:t>
            </w:r>
          </w:p>
        </w:tc>
        <w:tc>
          <w:tcPr>
            <w:tcW w:w="1133" w:type="dxa"/>
            <w:vAlign w:val="center"/>
          </w:tcPr>
          <w:p w14:paraId="01179723"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79.252</w:t>
            </w:r>
          </w:p>
        </w:tc>
      </w:tr>
      <w:tr w:rsidR="009F762E" w:rsidRPr="00242DFB" w14:paraId="0FFBADCA" w14:textId="77777777" w:rsidTr="00894C96">
        <w:trPr>
          <w:cantSplit/>
          <w:trHeight w:val="335"/>
          <w:jc w:val="center"/>
        </w:trPr>
        <w:tc>
          <w:tcPr>
            <w:tcW w:w="1826" w:type="dxa"/>
            <w:vAlign w:val="center"/>
          </w:tcPr>
          <w:p w14:paraId="0A183BE2"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VIH</w:t>
            </w:r>
          </w:p>
        </w:tc>
        <w:tc>
          <w:tcPr>
            <w:tcW w:w="796" w:type="dxa"/>
            <w:vAlign w:val="center"/>
          </w:tcPr>
          <w:p w14:paraId="5EBDF945"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2.890</w:t>
            </w:r>
          </w:p>
        </w:tc>
        <w:tc>
          <w:tcPr>
            <w:tcW w:w="795" w:type="dxa"/>
            <w:vAlign w:val="center"/>
          </w:tcPr>
          <w:p w14:paraId="3910A50E"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3.786</w:t>
            </w:r>
          </w:p>
        </w:tc>
        <w:tc>
          <w:tcPr>
            <w:tcW w:w="794" w:type="dxa"/>
            <w:vAlign w:val="center"/>
          </w:tcPr>
          <w:p w14:paraId="4E98D46A"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2.940</w:t>
            </w:r>
          </w:p>
        </w:tc>
        <w:tc>
          <w:tcPr>
            <w:tcW w:w="795" w:type="dxa"/>
            <w:vAlign w:val="center"/>
          </w:tcPr>
          <w:p w14:paraId="5819C78A"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2.409</w:t>
            </w:r>
          </w:p>
        </w:tc>
        <w:tc>
          <w:tcPr>
            <w:tcW w:w="795" w:type="dxa"/>
            <w:vAlign w:val="center"/>
          </w:tcPr>
          <w:p w14:paraId="7008DB96"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2.471</w:t>
            </w:r>
          </w:p>
        </w:tc>
        <w:tc>
          <w:tcPr>
            <w:tcW w:w="796" w:type="dxa"/>
            <w:vAlign w:val="center"/>
          </w:tcPr>
          <w:p w14:paraId="1EDCFD42"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2.678</w:t>
            </w:r>
          </w:p>
        </w:tc>
        <w:tc>
          <w:tcPr>
            <w:tcW w:w="795" w:type="dxa"/>
            <w:vAlign w:val="center"/>
          </w:tcPr>
          <w:p w14:paraId="1EEC98E2"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3.278</w:t>
            </w:r>
          </w:p>
        </w:tc>
        <w:tc>
          <w:tcPr>
            <w:tcW w:w="794" w:type="dxa"/>
            <w:vAlign w:val="center"/>
          </w:tcPr>
          <w:p w14:paraId="75B1C9A6"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2.806</w:t>
            </w:r>
          </w:p>
        </w:tc>
        <w:tc>
          <w:tcPr>
            <w:tcW w:w="795" w:type="dxa"/>
            <w:vAlign w:val="center"/>
          </w:tcPr>
          <w:p w14:paraId="4091E44F"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3.181</w:t>
            </w:r>
          </w:p>
        </w:tc>
        <w:tc>
          <w:tcPr>
            <w:tcW w:w="796" w:type="dxa"/>
            <w:vAlign w:val="center"/>
          </w:tcPr>
          <w:p w14:paraId="37F0800B"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3.096</w:t>
            </w:r>
          </w:p>
        </w:tc>
        <w:tc>
          <w:tcPr>
            <w:tcW w:w="1133" w:type="dxa"/>
            <w:vAlign w:val="center"/>
          </w:tcPr>
          <w:p w14:paraId="206CFB91"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29.535</w:t>
            </w:r>
          </w:p>
        </w:tc>
      </w:tr>
      <w:tr w:rsidR="009F762E" w:rsidRPr="00242DFB" w14:paraId="5A36FFA2" w14:textId="77777777" w:rsidTr="00894C96">
        <w:trPr>
          <w:cantSplit/>
          <w:trHeight w:val="335"/>
          <w:jc w:val="center"/>
        </w:trPr>
        <w:tc>
          <w:tcPr>
            <w:tcW w:w="1826" w:type="dxa"/>
            <w:vAlign w:val="center"/>
          </w:tcPr>
          <w:p w14:paraId="4546D621"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ERC</w:t>
            </w:r>
          </w:p>
        </w:tc>
        <w:tc>
          <w:tcPr>
            <w:tcW w:w="796" w:type="dxa"/>
            <w:vAlign w:val="center"/>
          </w:tcPr>
          <w:p w14:paraId="49918F39"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2.691</w:t>
            </w:r>
          </w:p>
        </w:tc>
        <w:tc>
          <w:tcPr>
            <w:tcW w:w="795" w:type="dxa"/>
            <w:vAlign w:val="center"/>
          </w:tcPr>
          <w:p w14:paraId="70305260"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3.707</w:t>
            </w:r>
          </w:p>
        </w:tc>
        <w:tc>
          <w:tcPr>
            <w:tcW w:w="794" w:type="dxa"/>
            <w:vAlign w:val="center"/>
          </w:tcPr>
          <w:p w14:paraId="08D51075"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2.637</w:t>
            </w:r>
          </w:p>
        </w:tc>
        <w:tc>
          <w:tcPr>
            <w:tcW w:w="795" w:type="dxa"/>
            <w:vAlign w:val="center"/>
          </w:tcPr>
          <w:p w14:paraId="70E51B6A"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2.171</w:t>
            </w:r>
          </w:p>
        </w:tc>
        <w:tc>
          <w:tcPr>
            <w:tcW w:w="795" w:type="dxa"/>
            <w:vAlign w:val="center"/>
          </w:tcPr>
          <w:p w14:paraId="20599337"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2.228</w:t>
            </w:r>
          </w:p>
        </w:tc>
        <w:tc>
          <w:tcPr>
            <w:tcW w:w="796" w:type="dxa"/>
            <w:vAlign w:val="center"/>
          </w:tcPr>
          <w:p w14:paraId="2771796D"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2.276</w:t>
            </w:r>
          </w:p>
        </w:tc>
        <w:tc>
          <w:tcPr>
            <w:tcW w:w="795" w:type="dxa"/>
            <w:vAlign w:val="center"/>
          </w:tcPr>
          <w:p w14:paraId="474C1946"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2.942</w:t>
            </w:r>
          </w:p>
        </w:tc>
        <w:tc>
          <w:tcPr>
            <w:tcW w:w="794" w:type="dxa"/>
            <w:vAlign w:val="center"/>
          </w:tcPr>
          <w:p w14:paraId="4D7261A1"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2.759</w:t>
            </w:r>
          </w:p>
        </w:tc>
        <w:tc>
          <w:tcPr>
            <w:tcW w:w="795" w:type="dxa"/>
            <w:vAlign w:val="center"/>
          </w:tcPr>
          <w:p w14:paraId="3818371A"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3.041</w:t>
            </w:r>
          </w:p>
        </w:tc>
        <w:tc>
          <w:tcPr>
            <w:tcW w:w="796" w:type="dxa"/>
            <w:vAlign w:val="center"/>
          </w:tcPr>
          <w:p w14:paraId="1406C394"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3.184</w:t>
            </w:r>
          </w:p>
        </w:tc>
        <w:tc>
          <w:tcPr>
            <w:tcW w:w="1133" w:type="dxa"/>
            <w:vAlign w:val="center"/>
          </w:tcPr>
          <w:p w14:paraId="6289C427"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27.636</w:t>
            </w:r>
          </w:p>
        </w:tc>
      </w:tr>
      <w:tr w:rsidR="009F762E" w:rsidRPr="00242DFB" w14:paraId="71B98617" w14:textId="77777777" w:rsidTr="00894C96">
        <w:trPr>
          <w:cantSplit/>
          <w:trHeight w:val="559"/>
          <w:jc w:val="center"/>
        </w:trPr>
        <w:tc>
          <w:tcPr>
            <w:tcW w:w="1826" w:type="dxa"/>
            <w:vAlign w:val="center"/>
          </w:tcPr>
          <w:p w14:paraId="0AF9C02C"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Huérfanas</w:t>
            </w:r>
          </w:p>
        </w:tc>
        <w:tc>
          <w:tcPr>
            <w:tcW w:w="796" w:type="dxa"/>
            <w:vAlign w:val="center"/>
          </w:tcPr>
          <w:p w14:paraId="2A4E150D"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1347</w:t>
            </w:r>
          </w:p>
        </w:tc>
        <w:tc>
          <w:tcPr>
            <w:tcW w:w="795" w:type="dxa"/>
            <w:vAlign w:val="center"/>
          </w:tcPr>
          <w:p w14:paraId="108A6EFD"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1.961</w:t>
            </w:r>
          </w:p>
        </w:tc>
        <w:tc>
          <w:tcPr>
            <w:tcW w:w="794" w:type="dxa"/>
            <w:vAlign w:val="center"/>
          </w:tcPr>
          <w:p w14:paraId="29D09C87"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1.522</w:t>
            </w:r>
          </w:p>
        </w:tc>
        <w:tc>
          <w:tcPr>
            <w:tcW w:w="795" w:type="dxa"/>
            <w:vAlign w:val="center"/>
          </w:tcPr>
          <w:p w14:paraId="4311BEDC"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1.164</w:t>
            </w:r>
          </w:p>
        </w:tc>
        <w:tc>
          <w:tcPr>
            <w:tcW w:w="795" w:type="dxa"/>
            <w:vAlign w:val="center"/>
          </w:tcPr>
          <w:p w14:paraId="1AD3D345"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1.386</w:t>
            </w:r>
          </w:p>
        </w:tc>
        <w:tc>
          <w:tcPr>
            <w:tcW w:w="796" w:type="dxa"/>
            <w:vAlign w:val="center"/>
          </w:tcPr>
          <w:p w14:paraId="4B5CAD45"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1.028</w:t>
            </w:r>
          </w:p>
        </w:tc>
        <w:tc>
          <w:tcPr>
            <w:tcW w:w="795" w:type="dxa"/>
            <w:vAlign w:val="center"/>
          </w:tcPr>
          <w:p w14:paraId="3D701A8A"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1.577</w:t>
            </w:r>
          </w:p>
        </w:tc>
        <w:tc>
          <w:tcPr>
            <w:tcW w:w="794" w:type="dxa"/>
            <w:vAlign w:val="center"/>
          </w:tcPr>
          <w:p w14:paraId="10B6FE3F"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1.538</w:t>
            </w:r>
          </w:p>
        </w:tc>
        <w:tc>
          <w:tcPr>
            <w:tcW w:w="795" w:type="dxa"/>
            <w:vAlign w:val="center"/>
          </w:tcPr>
          <w:p w14:paraId="57446FC2"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1.634</w:t>
            </w:r>
          </w:p>
        </w:tc>
        <w:tc>
          <w:tcPr>
            <w:tcW w:w="796" w:type="dxa"/>
            <w:vAlign w:val="center"/>
          </w:tcPr>
          <w:p w14:paraId="77803A24"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1.585</w:t>
            </w:r>
          </w:p>
        </w:tc>
        <w:tc>
          <w:tcPr>
            <w:tcW w:w="1133" w:type="dxa"/>
            <w:vAlign w:val="center"/>
          </w:tcPr>
          <w:p w14:paraId="0D438106"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14.742</w:t>
            </w:r>
          </w:p>
        </w:tc>
      </w:tr>
      <w:tr w:rsidR="009F762E" w:rsidRPr="00242DFB" w14:paraId="74B9A7DA" w14:textId="77777777" w:rsidTr="00894C96">
        <w:trPr>
          <w:cantSplit/>
          <w:trHeight w:val="559"/>
          <w:jc w:val="center"/>
        </w:trPr>
        <w:tc>
          <w:tcPr>
            <w:tcW w:w="1826" w:type="dxa"/>
            <w:vAlign w:val="center"/>
          </w:tcPr>
          <w:p w14:paraId="755A020F"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Hepatitis c</w:t>
            </w:r>
          </w:p>
        </w:tc>
        <w:tc>
          <w:tcPr>
            <w:tcW w:w="796" w:type="dxa"/>
            <w:vAlign w:val="center"/>
          </w:tcPr>
          <w:p w14:paraId="190DF442"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95</w:t>
            </w:r>
          </w:p>
        </w:tc>
        <w:tc>
          <w:tcPr>
            <w:tcW w:w="795" w:type="dxa"/>
            <w:vAlign w:val="center"/>
          </w:tcPr>
          <w:p w14:paraId="476056BA"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112</w:t>
            </w:r>
          </w:p>
        </w:tc>
        <w:tc>
          <w:tcPr>
            <w:tcW w:w="794" w:type="dxa"/>
            <w:vAlign w:val="center"/>
          </w:tcPr>
          <w:p w14:paraId="55EBF3BD"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90</w:t>
            </w:r>
          </w:p>
        </w:tc>
        <w:tc>
          <w:tcPr>
            <w:tcW w:w="795" w:type="dxa"/>
            <w:vAlign w:val="center"/>
          </w:tcPr>
          <w:p w14:paraId="57F26F27"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86</w:t>
            </w:r>
          </w:p>
        </w:tc>
        <w:tc>
          <w:tcPr>
            <w:tcW w:w="795" w:type="dxa"/>
            <w:vAlign w:val="center"/>
          </w:tcPr>
          <w:p w14:paraId="0A9F0EAD"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77</w:t>
            </w:r>
          </w:p>
        </w:tc>
        <w:tc>
          <w:tcPr>
            <w:tcW w:w="796" w:type="dxa"/>
            <w:vAlign w:val="center"/>
          </w:tcPr>
          <w:p w14:paraId="1302BEB8"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74</w:t>
            </w:r>
          </w:p>
        </w:tc>
        <w:tc>
          <w:tcPr>
            <w:tcW w:w="795" w:type="dxa"/>
            <w:vAlign w:val="center"/>
          </w:tcPr>
          <w:p w14:paraId="6B5B5156"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72</w:t>
            </w:r>
          </w:p>
        </w:tc>
        <w:tc>
          <w:tcPr>
            <w:tcW w:w="794" w:type="dxa"/>
            <w:vAlign w:val="center"/>
          </w:tcPr>
          <w:p w14:paraId="294C4ECC"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92</w:t>
            </w:r>
          </w:p>
        </w:tc>
        <w:tc>
          <w:tcPr>
            <w:tcW w:w="795" w:type="dxa"/>
            <w:vAlign w:val="center"/>
          </w:tcPr>
          <w:p w14:paraId="6F77BA01"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103</w:t>
            </w:r>
          </w:p>
        </w:tc>
        <w:tc>
          <w:tcPr>
            <w:tcW w:w="796" w:type="dxa"/>
            <w:vAlign w:val="center"/>
          </w:tcPr>
          <w:p w14:paraId="5F27A6A8"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107</w:t>
            </w:r>
          </w:p>
        </w:tc>
        <w:tc>
          <w:tcPr>
            <w:tcW w:w="1133" w:type="dxa"/>
            <w:vAlign w:val="center"/>
          </w:tcPr>
          <w:p w14:paraId="0F316343"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908</w:t>
            </w:r>
          </w:p>
        </w:tc>
      </w:tr>
      <w:tr w:rsidR="009F762E" w:rsidRPr="00242DFB" w14:paraId="02720240" w14:textId="77777777" w:rsidTr="00894C96">
        <w:trPr>
          <w:cantSplit/>
          <w:trHeight w:val="559"/>
          <w:jc w:val="center"/>
        </w:trPr>
        <w:tc>
          <w:tcPr>
            <w:tcW w:w="1826" w:type="dxa"/>
            <w:vAlign w:val="center"/>
          </w:tcPr>
          <w:p w14:paraId="11693DF9"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Trasplantados</w:t>
            </w:r>
          </w:p>
        </w:tc>
        <w:tc>
          <w:tcPr>
            <w:tcW w:w="796" w:type="dxa"/>
            <w:vAlign w:val="center"/>
          </w:tcPr>
          <w:p w14:paraId="0D7B42F7"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93</w:t>
            </w:r>
          </w:p>
        </w:tc>
        <w:tc>
          <w:tcPr>
            <w:tcW w:w="795" w:type="dxa"/>
            <w:vAlign w:val="center"/>
          </w:tcPr>
          <w:p w14:paraId="4CC4B879"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115</w:t>
            </w:r>
          </w:p>
        </w:tc>
        <w:tc>
          <w:tcPr>
            <w:tcW w:w="794" w:type="dxa"/>
            <w:vAlign w:val="center"/>
          </w:tcPr>
          <w:p w14:paraId="31E5E362"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43</w:t>
            </w:r>
          </w:p>
        </w:tc>
        <w:tc>
          <w:tcPr>
            <w:tcW w:w="795" w:type="dxa"/>
            <w:vAlign w:val="center"/>
          </w:tcPr>
          <w:p w14:paraId="5B50EFE1"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70</w:t>
            </w:r>
          </w:p>
        </w:tc>
        <w:tc>
          <w:tcPr>
            <w:tcW w:w="795" w:type="dxa"/>
            <w:vAlign w:val="center"/>
          </w:tcPr>
          <w:p w14:paraId="4B0F7D4E"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66</w:t>
            </w:r>
          </w:p>
        </w:tc>
        <w:tc>
          <w:tcPr>
            <w:tcW w:w="796" w:type="dxa"/>
            <w:vAlign w:val="center"/>
          </w:tcPr>
          <w:p w14:paraId="2C46E8C3"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39</w:t>
            </w:r>
          </w:p>
        </w:tc>
        <w:tc>
          <w:tcPr>
            <w:tcW w:w="795" w:type="dxa"/>
            <w:vAlign w:val="center"/>
          </w:tcPr>
          <w:p w14:paraId="375C48FF"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59</w:t>
            </w:r>
          </w:p>
        </w:tc>
        <w:tc>
          <w:tcPr>
            <w:tcW w:w="794" w:type="dxa"/>
            <w:vAlign w:val="center"/>
          </w:tcPr>
          <w:p w14:paraId="6A693567"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59</w:t>
            </w:r>
          </w:p>
        </w:tc>
        <w:tc>
          <w:tcPr>
            <w:tcW w:w="795" w:type="dxa"/>
            <w:vAlign w:val="center"/>
          </w:tcPr>
          <w:p w14:paraId="6132974B"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67</w:t>
            </w:r>
          </w:p>
        </w:tc>
        <w:tc>
          <w:tcPr>
            <w:tcW w:w="796" w:type="dxa"/>
            <w:vAlign w:val="center"/>
          </w:tcPr>
          <w:p w14:paraId="6CE30125"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60</w:t>
            </w:r>
          </w:p>
        </w:tc>
        <w:tc>
          <w:tcPr>
            <w:tcW w:w="1133" w:type="dxa"/>
            <w:vAlign w:val="center"/>
          </w:tcPr>
          <w:p w14:paraId="5BAFCDAB"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671</w:t>
            </w:r>
          </w:p>
        </w:tc>
      </w:tr>
      <w:tr w:rsidR="009F762E" w:rsidRPr="00242DFB" w14:paraId="63CBDB85" w14:textId="77777777" w:rsidTr="00894C96">
        <w:trPr>
          <w:cantSplit/>
          <w:trHeight w:val="335"/>
          <w:jc w:val="center"/>
        </w:trPr>
        <w:tc>
          <w:tcPr>
            <w:tcW w:w="1826" w:type="dxa"/>
            <w:vAlign w:val="center"/>
          </w:tcPr>
          <w:p w14:paraId="6ACCFEA7" w14:textId="77777777" w:rsidR="009F762E" w:rsidRPr="00242DFB" w:rsidRDefault="00000000" w:rsidP="005B2285">
            <w:pPr>
              <w:spacing w:line="360" w:lineRule="auto"/>
              <w:jc w:val="center"/>
              <w:rPr>
                <w:rFonts w:ascii="Arial" w:hAnsi="Arial" w:cs="Arial"/>
                <w:color w:val="000000" w:themeColor="text1"/>
                <w:sz w:val="22"/>
                <w:szCs w:val="22"/>
              </w:rPr>
            </w:pPr>
            <w:r w:rsidRPr="00242DFB">
              <w:rPr>
                <w:rFonts w:ascii="Arial" w:hAnsi="Arial" w:cs="Arial"/>
                <w:color w:val="000000" w:themeColor="text1"/>
                <w:kern w:val="2"/>
                <w:sz w:val="22"/>
                <w:szCs w:val="22"/>
              </w:rPr>
              <w:t>Hemofilia</w:t>
            </w:r>
          </w:p>
        </w:tc>
        <w:tc>
          <w:tcPr>
            <w:tcW w:w="796" w:type="dxa"/>
            <w:vAlign w:val="center"/>
          </w:tcPr>
          <w:p w14:paraId="55524FB8"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25</w:t>
            </w:r>
          </w:p>
        </w:tc>
        <w:tc>
          <w:tcPr>
            <w:tcW w:w="795" w:type="dxa"/>
            <w:vAlign w:val="center"/>
          </w:tcPr>
          <w:p w14:paraId="51C92AC5"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41</w:t>
            </w:r>
          </w:p>
        </w:tc>
        <w:tc>
          <w:tcPr>
            <w:tcW w:w="794" w:type="dxa"/>
            <w:vAlign w:val="center"/>
          </w:tcPr>
          <w:p w14:paraId="2D7ABB1B"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22</w:t>
            </w:r>
          </w:p>
        </w:tc>
        <w:tc>
          <w:tcPr>
            <w:tcW w:w="795" w:type="dxa"/>
            <w:vAlign w:val="center"/>
          </w:tcPr>
          <w:p w14:paraId="5868D818"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13</w:t>
            </w:r>
          </w:p>
        </w:tc>
        <w:tc>
          <w:tcPr>
            <w:tcW w:w="795" w:type="dxa"/>
            <w:vAlign w:val="center"/>
          </w:tcPr>
          <w:p w14:paraId="4936F007"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25</w:t>
            </w:r>
          </w:p>
        </w:tc>
        <w:tc>
          <w:tcPr>
            <w:tcW w:w="796" w:type="dxa"/>
            <w:vAlign w:val="center"/>
          </w:tcPr>
          <w:p w14:paraId="5BA3182E"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14</w:t>
            </w:r>
          </w:p>
        </w:tc>
        <w:tc>
          <w:tcPr>
            <w:tcW w:w="795" w:type="dxa"/>
            <w:vAlign w:val="center"/>
          </w:tcPr>
          <w:p w14:paraId="1AE37C2C"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24</w:t>
            </w:r>
          </w:p>
        </w:tc>
        <w:tc>
          <w:tcPr>
            <w:tcW w:w="794" w:type="dxa"/>
            <w:vAlign w:val="center"/>
          </w:tcPr>
          <w:p w14:paraId="241F6732"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19</w:t>
            </w:r>
          </w:p>
        </w:tc>
        <w:tc>
          <w:tcPr>
            <w:tcW w:w="795" w:type="dxa"/>
            <w:vAlign w:val="center"/>
          </w:tcPr>
          <w:p w14:paraId="63C6C061"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28</w:t>
            </w:r>
          </w:p>
        </w:tc>
        <w:tc>
          <w:tcPr>
            <w:tcW w:w="796" w:type="dxa"/>
            <w:vAlign w:val="center"/>
          </w:tcPr>
          <w:p w14:paraId="5ACF338F"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18</w:t>
            </w:r>
          </w:p>
        </w:tc>
        <w:tc>
          <w:tcPr>
            <w:tcW w:w="1133" w:type="dxa"/>
            <w:vAlign w:val="center"/>
          </w:tcPr>
          <w:p w14:paraId="59F9EB7C"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hAnsi="Arial" w:cs="Arial"/>
                <w:color w:val="000000" w:themeColor="text1"/>
                <w:kern w:val="2"/>
                <w:sz w:val="18"/>
                <w:szCs w:val="18"/>
              </w:rPr>
              <w:t>229</w:t>
            </w:r>
          </w:p>
        </w:tc>
      </w:tr>
    </w:tbl>
    <w:p w14:paraId="1EB1779A" w14:textId="77777777" w:rsidR="009F762E" w:rsidRPr="00242DFB" w:rsidRDefault="00000000" w:rsidP="005B2285">
      <w:pPr>
        <w:spacing w:line="360" w:lineRule="auto"/>
        <w:jc w:val="both"/>
        <w:rPr>
          <w:rFonts w:ascii="Arial" w:hAnsi="Arial" w:cs="Arial"/>
          <w:color w:val="000000" w:themeColor="text1"/>
          <w:sz w:val="16"/>
          <w:szCs w:val="16"/>
        </w:rPr>
      </w:pPr>
      <w:r w:rsidRPr="00242DFB">
        <w:rPr>
          <w:rFonts w:ascii="Arial" w:eastAsia="Arial" w:hAnsi="Arial" w:cs="Arial"/>
          <w:color w:val="000000"/>
          <w:sz w:val="16"/>
          <w:szCs w:val="16"/>
        </w:rPr>
        <w:t>Fuente: Capital Salud EPS-S. Respuesta al requerimiento No. 026-EE-54444 de la Subdirección de Garantía del Aseguramiento, mediante la cual se remite información de medicamentos solicitados por cohorte (serie mensual enero–octubre de 2025).</w:t>
      </w:r>
    </w:p>
    <w:p w14:paraId="19461335"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305B9DF0"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La información anteriormente expuesta permite evidenciar una alta concentración de la demanda farmacéutica en un número reducido de cohortes. Durante el periodo analizado, las cohortes de Cáncer y Artritis acumularon 293.932 solicitudes de medicamentos, equivalentes al 80,2 % del total registrado para las cohortes priorizadas. Este comportamiento indica que cualquier afectación en la gestión del suministro para estos grupos tendría un impacto significativo sobre los indicadores </w:t>
      </w:r>
      <w:r w:rsidRPr="00242DFB">
        <w:rPr>
          <w:rFonts w:ascii="Arial" w:eastAsia="Arial" w:hAnsi="Arial" w:cs="Arial"/>
          <w:color w:val="000000"/>
        </w:rPr>
        <w:lastRenderedPageBreak/>
        <w:t>globales de oportunidad y continuidad en la dispensación, así como sobre la percepción de acceso de la población afiliada.</w:t>
      </w:r>
    </w:p>
    <w:p w14:paraId="45C6D72E" w14:textId="77777777" w:rsidR="009F762E" w:rsidRPr="00242DFB" w:rsidRDefault="009F762E" w:rsidP="005B2285">
      <w:pPr>
        <w:spacing w:line="360" w:lineRule="auto"/>
        <w:jc w:val="both"/>
        <w:rPr>
          <w:rFonts w:ascii="Arial" w:hAnsi="Arial" w:cs="Arial"/>
          <w:color w:val="000000" w:themeColor="text1"/>
        </w:rPr>
      </w:pPr>
    </w:p>
    <w:p w14:paraId="7839D520"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Por otra parte, la disminución observada en las cohortes de Cáncer, Artritis, VIH y ERC durante abril sugiere la existencia de un comportamiento transversal que afecta simultáneamente a diferentes grupos poblacionales. Dado que la reducción no se limita a una cohorte específica, podría asociarse a factores institucionales, administrativos, operativos o de reporte, por lo que resulta pertinente verificar si durante dicho periodo se presentaron cambios contractuales, ajustes en los mecanismos de registro, dificultades de abastecimiento o modificaciones en los procesos de autorización y dispensación.</w:t>
      </w:r>
    </w:p>
    <w:p w14:paraId="5DB22F86" w14:textId="77777777" w:rsidR="009F762E" w:rsidRPr="00242DFB" w:rsidRDefault="009F762E" w:rsidP="005B2285">
      <w:pPr>
        <w:spacing w:line="360" w:lineRule="auto"/>
        <w:jc w:val="both"/>
        <w:rPr>
          <w:rFonts w:ascii="Arial" w:hAnsi="Arial" w:cs="Arial"/>
          <w:color w:val="000000" w:themeColor="text1"/>
        </w:rPr>
      </w:pPr>
    </w:p>
    <w:p w14:paraId="17D60E1C"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Asimismo, las cohortes de usuarios trasplantados, hemofilia y hepatitis C, aunque representan un menor volumen de solicitudes, corresponden a poblaciones con alta vulnerabilidad clínica y una elevada dependencia de tratamientos especializados. En consecuencia, cualquier interrupción o retraso en la entrega de medicamentos puede generar efectos terapéuticos considerables sobre la evolución clínica de estos pacientes, razón por la cual su seguimiento debe realizarse no solo desde la cantidad de solicitudes, sino también desde la garantía de continuidad terapéutica.</w:t>
      </w:r>
    </w:p>
    <w:p w14:paraId="09E80744" w14:textId="77777777" w:rsidR="009F762E" w:rsidRPr="00242DFB" w:rsidRDefault="009F762E" w:rsidP="005B2285">
      <w:pPr>
        <w:spacing w:line="360" w:lineRule="auto"/>
        <w:jc w:val="both"/>
        <w:rPr>
          <w:rFonts w:ascii="Arial" w:hAnsi="Arial" w:cs="Arial"/>
          <w:color w:val="000000" w:themeColor="text1"/>
        </w:rPr>
      </w:pPr>
    </w:p>
    <w:p w14:paraId="256B6CEF"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Finalmente, el incremento progresivo de solicitudes registrado en el septiembre y octubre del periodo analizado evidencia la necesidad de que la EPS y su operador farmacéutico cuenten con mecanismos de planeación, abastecimiento y gestión de inventarios suficientemente robustos para responder a escenarios de mayor demanda. La ausencia de una capacidad de respuesta acorde con este crecimiento podría traducirse en aumento de pendientes de entrega, traducidos en riesgos para la continuidad de los tratamientos de la población afiliada.</w:t>
      </w:r>
    </w:p>
    <w:p w14:paraId="253ECD44"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43E09650" w14:textId="771F3196" w:rsidR="00894C96" w:rsidRPr="00242DFB" w:rsidRDefault="00894C96" w:rsidP="005B2285">
      <w:pPr>
        <w:pStyle w:val="Descripcin"/>
        <w:keepNext/>
        <w:spacing w:after="0"/>
        <w:jc w:val="center"/>
        <w:rPr>
          <w:rFonts w:ascii="Arial" w:hAnsi="Arial" w:cs="Arial"/>
          <w:color w:val="000000" w:themeColor="text1"/>
          <w:sz w:val="24"/>
          <w:szCs w:val="24"/>
        </w:rPr>
      </w:pPr>
      <w:bookmarkStart w:id="100" w:name="_Toc233574880"/>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20</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Medicamentos pendientes por cohorte priorizada, serie mensual enero-octubre de 2025</w:t>
      </w:r>
      <w:bookmarkEnd w:id="100"/>
    </w:p>
    <w:tbl>
      <w:tblPr>
        <w:tblStyle w:val="Tablaconcuadrcula"/>
        <w:tblW w:w="11107" w:type="dxa"/>
        <w:jc w:val="center"/>
        <w:tblLayout w:type="fixed"/>
        <w:tblLook w:val="06A0" w:firstRow="1" w:lastRow="0" w:firstColumn="1" w:lastColumn="0" w:noHBand="1" w:noVBand="1"/>
      </w:tblPr>
      <w:tblGrid>
        <w:gridCol w:w="2108"/>
        <w:gridCol w:w="799"/>
        <w:gridCol w:w="802"/>
        <w:gridCol w:w="803"/>
        <w:gridCol w:w="802"/>
        <w:gridCol w:w="802"/>
        <w:gridCol w:w="801"/>
        <w:gridCol w:w="802"/>
        <w:gridCol w:w="802"/>
        <w:gridCol w:w="803"/>
        <w:gridCol w:w="802"/>
        <w:gridCol w:w="957"/>
        <w:gridCol w:w="24"/>
      </w:tblGrid>
      <w:tr w:rsidR="009F762E" w:rsidRPr="00242DFB" w14:paraId="2AC59324" w14:textId="77777777" w:rsidTr="00A86A17">
        <w:trPr>
          <w:cantSplit/>
          <w:trHeight w:val="130"/>
          <w:jc w:val="center"/>
        </w:trPr>
        <w:tc>
          <w:tcPr>
            <w:tcW w:w="2108" w:type="dxa"/>
            <w:vMerge w:val="restart"/>
            <w:vAlign w:val="center"/>
          </w:tcPr>
          <w:p w14:paraId="681AF16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 xml:space="preserve">Cohorte </w:t>
            </w:r>
          </w:p>
        </w:tc>
        <w:tc>
          <w:tcPr>
            <w:tcW w:w="8999" w:type="dxa"/>
            <w:gridSpan w:val="12"/>
            <w:vAlign w:val="center"/>
          </w:tcPr>
          <w:p w14:paraId="6CAC5855" w14:textId="6E014EDA" w:rsidR="009F762E" w:rsidRPr="00242DFB" w:rsidRDefault="00894C96"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Total,</w:t>
            </w:r>
            <w:r w:rsidR="00000000" w:rsidRPr="00242DFB">
              <w:rPr>
                <w:rFonts w:ascii="Arial" w:eastAsia="Arial" w:hAnsi="Arial" w:cs="Arial"/>
                <w:b/>
                <w:bCs/>
                <w:color w:val="000000" w:themeColor="text1"/>
                <w:kern w:val="2"/>
              </w:rPr>
              <w:t xml:space="preserve"> de medicamentos pendientes</w:t>
            </w:r>
          </w:p>
        </w:tc>
      </w:tr>
      <w:tr w:rsidR="00A86A17" w:rsidRPr="00242DFB" w14:paraId="412E9B26" w14:textId="77777777" w:rsidTr="00A86A17">
        <w:trPr>
          <w:gridAfter w:val="1"/>
          <w:wAfter w:w="24" w:type="dxa"/>
          <w:cantSplit/>
          <w:trHeight w:val="852"/>
          <w:jc w:val="center"/>
        </w:trPr>
        <w:tc>
          <w:tcPr>
            <w:tcW w:w="2108" w:type="dxa"/>
            <w:vMerge/>
            <w:vAlign w:val="center"/>
          </w:tcPr>
          <w:p w14:paraId="78AA9308" w14:textId="77777777" w:rsidR="009F762E" w:rsidRPr="00242DFB" w:rsidRDefault="009F762E" w:rsidP="005B2285">
            <w:pPr>
              <w:spacing w:line="360" w:lineRule="auto"/>
              <w:rPr>
                <w:rFonts w:ascii="Arial" w:hAnsi="Arial" w:cs="Arial"/>
                <w:color w:val="000000" w:themeColor="text1"/>
              </w:rPr>
            </w:pPr>
          </w:p>
        </w:tc>
        <w:tc>
          <w:tcPr>
            <w:tcW w:w="799" w:type="dxa"/>
            <w:vAlign w:val="center"/>
          </w:tcPr>
          <w:p w14:paraId="42D79AA2"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ene-25</w:t>
            </w:r>
          </w:p>
        </w:tc>
        <w:tc>
          <w:tcPr>
            <w:tcW w:w="802" w:type="dxa"/>
            <w:vAlign w:val="center"/>
          </w:tcPr>
          <w:p w14:paraId="64541516"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feb-25</w:t>
            </w:r>
          </w:p>
        </w:tc>
        <w:tc>
          <w:tcPr>
            <w:tcW w:w="803" w:type="dxa"/>
            <w:vAlign w:val="center"/>
          </w:tcPr>
          <w:p w14:paraId="08B9DDD7"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mar-25</w:t>
            </w:r>
          </w:p>
        </w:tc>
        <w:tc>
          <w:tcPr>
            <w:tcW w:w="802" w:type="dxa"/>
            <w:vAlign w:val="center"/>
          </w:tcPr>
          <w:p w14:paraId="5D802359"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abr-25</w:t>
            </w:r>
          </w:p>
        </w:tc>
        <w:tc>
          <w:tcPr>
            <w:tcW w:w="802" w:type="dxa"/>
            <w:vAlign w:val="center"/>
          </w:tcPr>
          <w:p w14:paraId="17D8E78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may-25</w:t>
            </w:r>
          </w:p>
        </w:tc>
        <w:tc>
          <w:tcPr>
            <w:tcW w:w="801" w:type="dxa"/>
            <w:vAlign w:val="center"/>
          </w:tcPr>
          <w:p w14:paraId="7737B402"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jun-25</w:t>
            </w:r>
          </w:p>
        </w:tc>
        <w:tc>
          <w:tcPr>
            <w:tcW w:w="802" w:type="dxa"/>
            <w:vAlign w:val="center"/>
          </w:tcPr>
          <w:p w14:paraId="2F019BE0"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jul-25</w:t>
            </w:r>
          </w:p>
        </w:tc>
        <w:tc>
          <w:tcPr>
            <w:tcW w:w="802" w:type="dxa"/>
            <w:vAlign w:val="center"/>
          </w:tcPr>
          <w:p w14:paraId="6BC5B09F"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ago-25</w:t>
            </w:r>
          </w:p>
        </w:tc>
        <w:tc>
          <w:tcPr>
            <w:tcW w:w="803" w:type="dxa"/>
            <w:vAlign w:val="center"/>
          </w:tcPr>
          <w:p w14:paraId="1A15B23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sept-25</w:t>
            </w:r>
          </w:p>
        </w:tc>
        <w:tc>
          <w:tcPr>
            <w:tcW w:w="802" w:type="dxa"/>
            <w:vAlign w:val="center"/>
          </w:tcPr>
          <w:p w14:paraId="4D626B34"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oct-25</w:t>
            </w:r>
          </w:p>
        </w:tc>
        <w:tc>
          <w:tcPr>
            <w:tcW w:w="957" w:type="dxa"/>
            <w:vAlign w:val="center"/>
          </w:tcPr>
          <w:p w14:paraId="53B77C76"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TOTAL</w:t>
            </w:r>
          </w:p>
        </w:tc>
      </w:tr>
      <w:tr w:rsidR="00A86A17" w:rsidRPr="00242DFB" w14:paraId="5D81F716" w14:textId="77777777" w:rsidTr="00A86A17">
        <w:trPr>
          <w:gridAfter w:val="1"/>
          <w:wAfter w:w="24" w:type="dxa"/>
          <w:cantSplit/>
          <w:trHeight w:val="398"/>
          <w:jc w:val="center"/>
        </w:trPr>
        <w:tc>
          <w:tcPr>
            <w:tcW w:w="2108" w:type="dxa"/>
            <w:vAlign w:val="center"/>
          </w:tcPr>
          <w:p w14:paraId="3402EA4E"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Cáncer</w:t>
            </w:r>
          </w:p>
        </w:tc>
        <w:tc>
          <w:tcPr>
            <w:tcW w:w="799" w:type="dxa"/>
            <w:vAlign w:val="center"/>
          </w:tcPr>
          <w:p w14:paraId="6EE3829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4.508</w:t>
            </w:r>
          </w:p>
        </w:tc>
        <w:tc>
          <w:tcPr>
            <w:tcW w:w="802" w:type="dxa"/>
            <w:vAlign w:val="center"/>
          </w:tcPr>
          <w:p w14:paraId="29157C93"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4.038</w:t>
            </w:r>
          </w:p>
        </w:tc>
        <w:tc>
          <w:tcPr>
            <w:tcW w:w="803" w:type="dxa"/>
            <w:vAlign w:val="center"/>
          </w:tcPr>
          <w:p w14:paraId="3858E35A"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5.894</w:t>
            </w:r>
          </w:p>
        </w:tc>
        <w:tc>
          <w:tcPr>
            <w:tcW w:w="802" w:type="dxa"/>
            <w:vAlign w:val="center"/>
          </w:tcPr>
          <w:p w14:paraId="4516C644"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5.133</w:t>
            </w:r>
          </w:p>
        </w:tc>
        <w:tc>
          <w:tcPr>
            <w:tcW w:w="802" w:type="dxa"/>
            <w:vAlign w:val="center"/>
          </w:tcPr>
          <w:p w14:paraId="15C0FEF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6.012</w:t>
            </w:r>
          </w:p>
        </w:tc>
        <w:tc>
          <w:tcPr>
            <w:tcW w:w="801" w:type="dxa"/>
            <w:vAlign w:val="center"/>
          </w:tcPr>
          <w:p w14:paraId="2802F30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3.335</w:t>
            </w:r>
          </w:p>
        </w:tc>
        <w:tc>
          <w:tcPr>
            <w:tcW w:w="802" w:type="dxa"/>
            <w:vAlign w:val="center"/>
          </w:tcPr>
          <w:p w14:paraId="1432E39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3.304</w:t>
            </w:r>
          </w:p>
        </w:tc>
        <w:tc>
          <w:tcPr>
            <w:tcW w:w="802" w:type="dxa"/>
            <w:vAlign w:val="center"/>
          </w:tcPr>
          <w:p w14:paraId="7F529FC0"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2.824</w:t>
            </w:r>
          </w:p>
        </w:tc>
        <w:tc>
          <w:tcPr>
            <w:tcW w:w="803" w:type="dxa"/>
            <w:vAlign w:val="center"/>
          </w:tcPr>
          <w:p w14:paraId="1FC77EEA"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3.722</w:t>
            </w:r>
          </w:p>
        </w:tc>
        <w:tc>
          <w:tcPr>
            <w:tcW w:w="802" w:type="dxa"/>
            <w:vAlign w:val="center"/>
          </w:tcPr>
          <w:p w14:paraId="435C9BB8"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2.702</w:t>
            </w:r>
          </w:p>
        </w:tc>
        <w:tc>
          <w:tcPr>
            <w:tcW w:w="957" w:type="dxa"/>
            <w:vAlign w:val="center"/>
          </w:tcPr>
          <w:p w14:paraId="52CEAAF9"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41.472</w:t>
            </w:r>
          </w:p>
        </w:tc>
      </w:tr>
      <w:tr w:rsidR="00A86A17" w:rsidRPr="00242DFB" w14:paraId="209E6E0A" w14:textId="77777777" w:rsidTr="00A86A17">
        <w:trPr>
          <w:gridAfter w:val="1"/>
          <w:wAfter w:w="24" w:type="dxa"/>
          <w:cantSplit/>
          <w:trHeight w:val="398"/>
          <w:jc w:val="center"/>
        </w:trPr>
        <w:tc>
          <w:tcPr>
            <w:tcW w:w="2108" w:type="dxa"/>
            <w:vAlign w:val="center"/>
          </w:tcPr>
          <w:p w14:paraId="5DF0DEA8"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Artritis</w:t>
            </w:r>
          </w:p>
        </w:tc>
        <w:tc>
          <w:tcPr>
            <w:tcW w:w="799" w:type="dxa"/>
            <w:vAlign w:val="center"/>
          </w:tcPr>
          <w:p w14:paraId="7C9AC0C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1.763</w:t>
            </w:r>
          </w:p>
        </w:tc>
        <w:tc>
          <w:tcPr>
            <w:tcW w:w="802" w:type="dxa"/>
            <w:vAlign w:val="center"/>
          </w:tcPr>
          <w:p w14:paraId="57E35648"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1.638</w:t>
            </w:r>
          </w:p>
        </w:tc>
        <w:tc>
          <w:tcPr>
            <w:tcW w:w="803" w:type="dxa"/>
            <w:vAlign w:val="center"/>
          </w:tcPr>
          <w:p w14:paraId="4771F1E1"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2.334</w:t>
            </w:r>
          </w:p>
        </w:tc>
        <w:tc>
          <w:tcPr>
            <w:tcW w:w="802" w:type="dxa"/>
            <w:vAlign w:val="center"/>
          </w:tcPr>
          <w:p w14:paraId="795929E3"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1.761</w:t>
            </w:r>
          </w:p>
        </w:tc>
        <w:tc>
          <w:tcPr>
            <w:tcW w:w="802" w:type="dxa"/>
            <w:vAlign w:val="center"/>
          </w:tcPr>
          <w:p w14:paraId="6CA8F1E8"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2.437</w:t>
            </w:r>
          </w:p>
        </w:tc>
        <w:tc>
          <w:tcPr>
            <w:tcW w:w="801" w:type="dxa"/>
            <w:vAlign w:val="center"/>
          </w:tcPr>
          <w:p w14:paraId="285548A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1.335</w:t>
            </w:r>
          </w:p>
        </w:tc>
        <w:tc>
          <w:tcPr>
            <w:tcW w:w="802" w:type="dxa"/>
            <w:vAlign w:val="center"/>
          </w:tcPr>
          <w:p w14:paraId="6AD0A30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1.186</w:t>
            </w:r>
          </w:p>
        </w:tc>
        <w:tc>
          <w:tcPr>
            <w:tcW w:w="802" w:type="dxa"/>
            <w:vAlign w:val="center"/>
          </w:tcPr>
          <w:p w14:paraId="610C2401"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999</w:t>
            </w:r>
          </w:p>
        </w:tc>
        <w:tc>
          <w:tcPr>
            <w:tcW w:w="803" w:type="dxa"/>
            <w:vAlign w:val="center"/>
          </w:tcPr>
          <w:p w14:paraId="29CE24F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1.361</w:t>
            </w:r>
          </w:p>
        </w:tc>
        <w:tc>
          <w:tcPr>
            <w:tcW w:w="802" w:type="dxa"/>
            <w:vAlign w:val="center"/>
          </w:tcPr>
          <w:p w14:paraId="646DC397"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1.016</w:t>
            </w:r>
          </w:p>
        </w:tc>
        <w:tc>
          <w:tcPr>
            <w:tcW w:w="957" w:type="dxa"/>
            <w:vAlign w:val="center"/>
          </w:tcPr>
          <w:p w14:paraId="61F5753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15.830</w:t>
            </w:r>
          </w:p>
        </w:tc>
      </w:tr>
      <w:tr w:rsidR="00A86A17" w:rsidRPr="00242DFB" w14:paraId="0E1251AF" w14:textId="77777777" w:rsidTr="00A86A17">
        <w:trPr>
          <w:gridAfter w:val="1"/>
          <w:wAfter w:w="24" w:type="dxa"/>
          <w:cantSplit/>
          <w:trHeight w:val="398"/>
          <w:jc w:val="center"/>
        </w:trPr>
        <w:tc>
          <w:tcPr>
            <w:tcW w:w="2108" w:type="dxa"/>
            <w:vAlign w:val="center"/>
          </w:tcPr>
          <w:p w14:paraId="78F02BCE"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ERC</w:t>
            </w:r>
          </w:p>
        </w:tc>
        <w:tc>
          <w:tcPr>
            <w:tcW w:w="799" w:type="dxa"/>
            <w:vAlign w:val="center"/>
          </w:tcPr>
          <w:p w14:paraId="30CD6430"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641</w:t>
            </w:r>
          </w:p>
        </w:tc>
        <w:tc>
          <w:tcPr>
            <w:tcW w:w="802" w:type="dxa"/>
            <w:vAlign w:val="center"/>
          </w:tcPr>
          <w:p w14:paraId="52896412"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535</w:t>
            </w:r>
          </w:p>
        </w:tc>
        <w:tc>
          <w:tcPr>
            <w:tcW w:w="803" w:type="dxa"/>
            <w:vAlign w:val="center"/>
          </w:tcPr>
          <w:p w14:paraId="7BD0F02F"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853</w:t>
            </w:r>
          </w:p>
        </w:tc>
        <w:tc>
          <w:tcPr>
            <w:tcW w:w="802" w:type="dxa"/>
            <w:vAlign w:val="center"/>
          </w:tcPr>
          <w:p w14:paraId="199B3FA0"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702</w:t>
            </w:r>
          </w:p>
        </w:tc>
        <w:tc>
          <w:tcPr>
            <w:tcW w:w="802" w:type="dxa"/>
            <w:vAlign w:val="center"/>
          </w:tcPr>
          <w:p w14:paraId="73E49D09"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778</w:t>
            </w:r>
          </w:p>
        </w:tc>
        <w:tc>
          <w:tcPr>
            <w:tcW w:w="801" w:type="dxa"/>
            <w:vAlign w:val="center"/>
          </w:tcPr>
          <w:p w14:paraId="24696027"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429</w:t>
            </w:r>
          </w:p>
        </w:tc>
        <w:tc>
          <w:tcPr>
            <w:tcW w:w="802" w:type="dxa"/>
            <w:vAlign w:val="center"/>
          </w:tcPr>
          <w:p w14:paraId="799A71A3"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474</w:t>
            </w:r>
          </w:p>
        </w:tc>
        <w:tc>
          <w:tcPr>
            <w:tcW w:w="802" w:type="dxa"/>
            <w:vAlign w:val="center"/>
          </w:tcPr>
          <w:p w14:paraId="3506604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395</w:t>
            </w:r>
          </w:p>
        </w:tc>
        <w:tc>
          <w:tcPr>
            <w:tcW w:w="803" w:type="dxa"/>
            <w:vAlign w:val="center"/>
          </w:tcPr>
          <w:p w14:paraId="50A7F9D4"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434</w:t>
            </w:r>
          </w:p>
        </w:tc>
        <w:tc>
          <w:tcPr>
            <w:tcW w:w="802" w:type="dxa"/>
            <w:vAlign w:val="center"/>
          </w:tcPr>
          <w:p w14:paraId="57280DC9"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418</w:t>
            </w:r>
          </w:p>
        </w:tc>
        <w:tc>
          <w:tcPr>
            <w:tcW w:w="957" w:type="dxa"/>
            <w:vAlign w:val="center"/>
          </w:tcPr>
          <w:p w14:paraId="36A5B4B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5.659</w:t>
            </w:r>
          </w:p>
        </w:tc>
      </w:tr>
      <w:tr w:rsidR="00A86A17" w:rsidRPr="00242DFB" w14:paraId="23EAF5BF" w14:textId="77777777" w:rsidTr="00A86A17">
        <w:trPr>
          <w:gridAfter w:val="1"/>
          <w:wAfter w:w="24" w:type="dxa"/>
          <w:cantSplit/>
          <w:trHeight w:val="398"/>
          <w:jc w:val="center"/>
        </w:trPr>
        <w:tc>
          <w:tcPr>
            <w:tcW w:w="2108" w:type="dxa"/>
            <w:vAlign w:val="center"/>
          </w:tcPr>
          <w:p w14:paraId="6FD45673"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VIH</w:t>
            </w:r>
          </w:p>
        </w:tc>
        <w:tc>
          <w:tcPr>
            <w:tcW w:w="799" w:type="dxa"/>
            <w:vAlign w:val="center"/>
          </w:tcPr>
          <w:p w14:paraId="40057C9A"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605</w:t>
            </w:r>
          </w:p>
        </w:tc>
        <w:tc>
          <w:tcPr>
            <w:tcW w:w="802" w:type="dxa"/>
            <w:vAlign w:val="center"/>
          </w:tcPr>
          <w:p w14:paraId="2D89FF7B"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524</w:t>
            </w:r>
          </w:p>
        </w:tc>
        <w:tc>
          <w:tcPr>
            <w:tcW w:w="803" w:type="dxa"/>
            <w:vAlign w:val="center"/>
          </w:tcPr>
          <w:p w14:paraId="221ADBD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797</w:t>
            </w:r>
          </w:p>
        </w:tc>
        <w:tc>
          <w:tcPr>
            <w:tcW w:w="802" w:type="dxa"/>
            <w:vAlign w:val="center"/>
          </w:tcPr>
          <w:p w14:paraId="7B718061"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582</w:t>
            </w:r>
          </w:p>
        </w:tc>
        <w:tc>
          <w:tcPr>
            <w:tcW w:w="802" w:type="dxa"/>
            <w:vAlign w:val="center"/>
          </w:tcPr>
          <w:p w14:paraId="4C56F3F0"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728</w:t>
            </w:r>
          </w:p>
        </w:tc>
        <w:tc>
          <w:tcPr>
            <w:tcW w:w="801" w:type="dxa"/>
            <w:vAlign w:val="center"/>
          </w:tcPr>
          <w:p w14:paraId="3ED90AD7"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492</w:t>
            </w:r>
          </w:p>
        </w:tc>
        <w:tc>
          <w:tcPr>
            <w:tcW w:w="802" w:type="dxa"/>
            <w:vAlign w:val="center"/>
          </w:tcPr>
          <w:p w14:paraId="2781ACFA"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377</w:t>
            </w:r>
          </w:p>
        </w:tc>
        <w:tc>
          <w:tcPr>
            <w:tcW w:w="802" w:type="dxa"/>
            <w:vAlign w:val="center"/>
          </w:tcPr>
          <w:p w14:paraId="34D5C89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378</w:t>
            </w:r>
          </w:p>
        </w:tc>
        <w:tc>
          <w:tcPr>
            <w:tcW w:w="803" w:type="dxa"/>
            <w:vAlign w:val="center"/>
          </w:tcPr>
          <w:p w14:paraId="087E080E"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471</w:t>
            </w:r>
          </w:p>
        </w:tc>
        <w:tc>
          <w:tcPr>
            <w:tcW w:w="802" w:type="dxa"/>
            <w:vAlign w:val="center"/>
          </w:tcPr>
          <w:p w14:paraId="6607AC78"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328</w:t>
            </w:r>
          </w:p>
        </w:tc>
        <w:tc>
          <w:tcPr>
            <w:tcW w:w="957" w:type="dxa"/>
            <w:vAlign w:val="center"/>
          </w:tcPr>
          <w:p w14:paraId="4F7057F3"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5.282</w:t>
            </w:r>
          </w:p>
        </w:tc>
      </w:tr>
      <w:tr w:rsidR="00A86A17" w:rsidRPr="00242DFB" w14:paraId="20BB9116" w14:textId="77777777" w:rsidTr="00A86A17">
        <w:trPr>
          <w:gridAfter w:val="1"/>
          <w:wAfter w:w="24" w:type="dxa"/>
          <w:cantSplit/>
          <w:trHeight w:val="398"/>
          <w:jc w:val="center"/>
        </w:trPr>
        <w:tc>
          <w:tcPr>
            <w:tcW w:w="2108" w:type="dxa"/>
            <w:vAlign w:val="center"/>
          </w:tcPr>
          <w:p w14:paraId="07E26C85"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Huérfanas</w:t>
            </w:r>
          </w:p>
        </w:tc>
        <w:tc>
          <w:tcPr>
            <w:tcW w:w="799" w:type="dxa"/>
            <w:vAlign w:val="center"/>
          </w:tcPr>
          <w:p w14:paraId="1469CC69"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310</w:t>
            </w:r>
          </w:p>
        </w:tc>
        <w:tc>
          <w:tcPr>
            <w:tcW w:w="802" w:type="dxa"/>
            <w:vAlign w:val="center"/>
          </w:tcPr>
          <w:p w14:paraId="39D3A46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315</w:t>
            </w:r>
          </w:p>
        </w:tc>
        <w:tc>
          <w:tcPr>
            <w:tcW w:w="803" w:type="dxa"/>
            <w:vAlign w:val="center"/>
          </w:tcPr>
          <w:p w14:paraId="075799A1"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489</w:t>
            </w:r>
          </w:p>
        </w:tc>
        <w:tc>
          <w:tcPr>
            <w:tcW w:w="802" w:type="dxa"/>
            <w:vAlign w:val="center"/>
          </w:tcPr>
          <w:p w14:paraId="46AD7986"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353</w:t>
            </w:r>
          </w:p>
        </w:tc>
        <w:tc>
          <w:tcPr>
            <w:tcW w:w="802" w:type="dxa"/>
            <w:vAlign w:val="center"/>
          </w:tcPr>
          <w:p w14:paraId="081BE0D3"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448</w:t>
            </w:r>
          </w:p>
        </w:tc>
        <w:tc>
          <w:tcPr>
            <w:tcW w:w="801" w:type="dxa"/>
            <w:vAlign w:val="center"/>
          </w:tcPr>
          <w:p w14:paraId="308CBBA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285</w:t>
            </w:r>
          </w:p>
        </w:tc>
        <w:tc>
          <w:tcPr>
            <w:tcW w:w="802" w:type="dxa"/>
            <w:vAlign w:val="center"/>
          </w:tcPr>
          <w:p w14:paraId="22077D3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273</w:t>
            </w:r>
          </w:p>
        </w:tc>
        <w:tc>
          <w:tcPr>
            <w:tcW w:w="802" w:type="dxa"/>
            <w:vAlign w:val="center"/>
          </w:tcPr>
          <w:p w14:paraId="145C4DE7"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232</w:t>
            </w:r>
          </w:p>
        </w:tc>
        <w:tc>
          <w:tcPr>
            <w:tcW w:w="803" w:type="dxa"/>
            <w:vAlign w:val="center"/>
          </w:tcPr>
          <w:p w14:paraId="342547FF"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281</w:t>
            </w:r>
          </w:p>
        </w:tc>
        <w:tc>
          <w:tcPr>
            <w:tcW w:w="802" w:type="dxa"/>
            <w:vAlign w:val="center"/>
          </w:tcPr>
          <w:p w14:paraId="1547DA81"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256</w:t>
            </w:r>
          </w:p>
        </w:tc>
        <w:tc>
          <w:tcPr>
            <w:tcW w:w="957" w:type="dxa"/>
            <w:vAlign w:val="center"/>
          </w:tcPr>
          <w:p w14:paraId="00964AA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3.242</w:t>
            </w:r>
          </w:p>
        </w:tc>
      </w:tr>
      <w:tr w:rsidR="00A86A17" w:rsidRPr="00242DFB" w14:paraId="5F476A77" w14:textId="77777777" w:rsidTr="00A86A17">
        <w:trPr>
          <w:gridAfter w:val="1"/>
          <w:wAfter w:w="24" w:type="dxa"/>
          <w:cantSplit/>
          <w:trHeight w:val="398"/>
          <w:jc w:val="center"/>
        </w:trPr>
        <w:tc>
          <w:tcPr>
            <w:tcW w:w="2108" w:type="dxa"/>
            <w:vAlign w:val="center"/>
          </w:tcPr>
          <w:p w14:paraId="56B9C259"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Hepatitis C</w:t>
            </w:r>
          </w:p>
        </w:tc>
        <w:tc>
          <w:tcPr>
            <w:tcW w:w="799" w:type="dxa"/>
            <w:vAlign w:val="center"/>
          </w:tcPr>
          <w:p w14:paraId="2F61AF01"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19</w:t>
            </w:r>
          </w:p>
        </w:tc>
        <w:tc>
          <w:tcPr>
            <w:tcW w:w="802" w:type="dxa"/>
            <w:vAlign w:val="center"/>
          </w:tcPr>
          <w:p w14:paraId="51839347"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18</w:t>
            </w:r>
          </w:p>
        </w:tc>
        <w:tc>
          <w:tcPr>
            <w:tcW w:w="803" w:type="dxa"/>
            <w:vAlign w:val="center"/>
          </w:tcPr>
          <w:p w14:paraId="3FB5E36F"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25</w:t>
            </w:r>
          </w:p>
        </w:tc>
        <w:tc>
          <w:tcPr>
            <w:tcW w:w="802" w:type="dxa"/>
            <w:vAlign w:val="center"/>
          </w:tcPr>
          <w:p w14:paraId="3FE2EE98"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22</w:t>
            </w:r>
          </w:p>
        </w:tc>
        <w:tc>
          <w:tcPr>
            <w:tcW w:w="802" w:type="dxa"/>
            <w:vAlign w:val="center"/>
          </w:tcPr>
          <w:p w14:paraId="7FE80BD1"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29</w:t>
            </w:r>
          </w:p>
        </w:tc>
        <w:tc>
          <w:tcPr>
            <w:tcW w:w="801" w:type="dxa"/>
            <w:vAlign w:val="center"/>
          </w:tcPr>
          <w:p w14:paraId="041A3F86"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w:t>
            </w:r>
          </w:p>
        </w:tc>
        <w:tc>
          <w:tcPr>
            <w:tcW w:w="802" w:type="dxa"/>
            <w:vAlign w:val="center"/>
          </w:tcPr>
          <w:p w14:paraId="7E03AF0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15</w:t>
            </w:r>
          </w:p>
        </w:tc>
        <w:tc>
          <w:tcPr>
            <w:tcW w:w="802" w:type="dxa"/>
            <w:vAlign w:val="center"/>
          </w:tcPr>
          <w:p w14:paraId="6E5F687A"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15</w:t>
            </w:r>
          </w:p>
        </w:tc>
        <w:tc>
          <w:tcPr>
            <w:tcW w:w="803" w:type="dxa"/>
            <w:vAlign w:val="center"/>
          </w:tcPr>
          <w:p w14:paraId="5D37F9BE"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30</w:t>
            </w:r>
          </w:p>
        </w:tc>
        <w:tc>
          <w:tcPr>
            <w:tcW w:w="802" w:type="dxa"/>
            <w:vAlign w:val="center"/>
          </w:tcPr>
          <w:p w14:paraId="4774DDBE"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w:t>
            </w:r>
          </w:p>
        </w:tc>
        <w:tc>
          <w:tcPr>
            <w:tcW w:w="957" w:type="dxa"/>
            <w:vAlign w:val="center"/>
          </w:tcPr>
          <w:p w14:paraId="696B9531"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197</w:t>
            </w:r>
          </w:p>
        </w:tc>
      </w:tr>
      <w:tr w:rsidR="00A86A17" w:rsidRPr="00242DFB" w14:paraId="5D6B971A" w14:textId="77777777" w:rsidTr="00A86A17">
        <w:trPr>
          <w:gridAfter w:val="1"/>
          <w:wAfter w:w="24" w:type="dxa"/>
          <w:cantSplit/>
          <w:trHeight w:val="398"/>
          <w:jc w:val="center"/>
        </w:trPr>
        <w:tc>
          <w:tcPr>
            <w:tcW w:w="2108" w:type="dxa"/>
            <w:vAlign w:val="center"/>
          </w:tcPr>
          <w:p w14:paraId="51CC4620" w14:textId="23AA859E"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T</w:t>
            </w:r>
            <w:r w:rsidR="00642313" w:rsidRPr="00242DFB">
              <w:rPr>
                <w:rFonts w:ascii="Arial" w:eastAsia="Arial" w:hAnsi="Arial" w:cs="Arial"/>
                <w:color w:val="000000" w:themeColor="text1"/>
                <w:kern w:val="2"/>
              </w:rPr>
              <w:t>rasplantados</w:t>
            </w:r>
          </w:p>
        </w:tc>
        <w:tc>
          <w:tcPr>
            <w:tcW w:w="799" w:type="dxa"/>
            <w:vAlign w:val="center"/>
          </w:tcPr>
          <w:p w14:paraId="24AB0CDF"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23</w:t>
            </w:r>
          </w:p>
        </w:tc>
        <w:tc>
          <w:tcPr>
            <w:tcW w:w="802" w:type="dxa"/>
            <w:vAlign w:val="center"/>
          </w:tcPr>
          <w:p w14:paraId="51199948"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16</w:t>
            </w:r>
          </w:p>
        </w:tc>
        <w:tc>
          <w:tcPr>
            <w:tcW w:w="803" w:type="dxa"/>
            <w:vAlign w:val="center"/>
          </w:tcPr>
          <w:p w14:paraId="5E1A49E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12</w:t>
            </w:r>
          </w:p>
        </w:tc>
        <w:tc>
          <w:tcPr>
            <w:tcW w:w="802" w:type="dxa"/>
            <w:vAlign w:val="center"/>
          </w:tcPr>
          <w:p w14:paraId="3193031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21</w:t>
            </w:r>
          </w:p>
        </w:tc>
        <w:tc>
          <w:tcPr>
            <w:tcW w:w="802" w:type="dxa"/>
            <w:vAlign w:val="center"/>
          </w:tcPr>
          <w:p w14:paraId="6FEA0B60"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15</w:t>
            </w:r>
          </w:p>
        </w:tc>
        <w:tc>
          <w:tcPr>
            <w:tcW w:w="801" w:type="dxa"/>
            <w:vAlign w:val="center"/>
          </w:tcPr>
          <w:p w14:paraId="00C35E69"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w:t>
            </w:r>
          </w:p>
        </w:tc>
        <w:tc>
          <w:tcPr>
            <w:tcW w:w="802" w:type="dxa"/>
            <w:vAlign w:val="center"/>
          </w:tcPr>
          <w:p w14:paraId="6209916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w:t>
            </w:r>
          </w:p>
        </w:tc>
        <w:tc>
          <w:tcPr>
            <w:tcW w:w="802" w:type="dxa"/>
            <w:vAlign w:val="center"/>
          </w:tcPr>
          <w:p w14:paraId="241CCDAE"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w:t>
            </w:r>
          </w:p>
        </w:tc>
        <w:tc>
          <w:tcPr>
            <w:tcW w:w="803" w:type="dxa"/>
            <w:vAlign w:val="center"/>
          </w:tcPr>
          <w:p w14:paraId="000B4B4E"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w:t>
            </w:r>
          </w:p>
        </w:tc>
        <w:tc>
          <w:tcPr>
            <w:tcW w:w="802" w:type="dxa"/>
            <w:vAlign w:val="center"/>
          </w:tcPr>
          <w:p w14:paraId="4C54A090"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w:t>
            </w:r>
          </w:p>
        </w:tc>
        <w:tc>
          <w:tcPr>
            <w:tcW w:w="957" w:type="dxa"/>
            <w:vAlign w:val="center"/>
          </w:tcPr>
          <w:p w14:paraId="65A09B1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136</w:t>
            </w:r>
          </w:p>
        </w:tc>
      </w:tr>
      <w:tr w:rsidR="00A86A17" w:rsidRPr="00242DFB" w14:paraId="39DF0CA1" w14:textId="77777777" w:rsidTr="00A86A17">
        <w:trPr>
          <w:gridAfter w:val="1"/>
          <w:wAfter w:w="24" w:type="dxa"/>
          <w:cantSplit/>
          <w:trHeight w:val="443"/>
          <w:jc w:val="center"/>
        </w:trPr>
        <w:tc>
          <w:tcPr>
            <w:tcW w:w="2108" w:type="dxa"/>
            <w:vAlign w:val="center"/>
          </w:tcPr>
          <w:p w14:paraId="0390AC0C"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Hemofilia</w:t>
            </w:r>
          </w:p>
        </w:tc>
        <w:tc>
          <w:tcPr>
            <w:tcW w:w="799" w:type="dxa"/>
            <w:vAlign w:val="center"/>
          </w:tcPr>
          <w:p w14:paraId="6024F58A"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w:t>
            </w:r>
          </w:p>
        </w:tc>
        <w:tc>
          <w:tcPr>
            <w:tcW w:w="802" w:type="dxa"/>
            <w:vAlign w:val="center"/>
          </w:tcPr>
          <w:p w14:paraId="04EC9D48"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w:t>
            </w:r>
          </w:p>
        </w:tc>
        <w:tc>
          <w:tcPr>
            <w:tcW w:w="803" w:type="dxa"/>
            <w:vAlign w:val="center"/>
          </w:tcPr>
          <w:p w14:paraId="045A8716"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w:t>
            </w:r>
          </w:p>
        </w:tc>
        <w:tc>
          <w:tcPr>
            <w:tcW w:w="802" w:type="dxa"/>
            <w:vAlign w:val="center"/>
          </w:tcPr>
          <w:p w14:paraId="1FFD05C0"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w:t>
            </w:r>
          </w:p>
        </w:tc>
        <w:tc>
          <w:tcPr>
            <w:tcW w:w="802" w:type="dxa"/>
            <w:vAlign w:val="center"/>
          </w:tcPr>
          <w:p w14:paraId="48D2576A"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13</w:t>
            </w:r>
          </w:p>
        </w:tc>
        <w:tc>
          <w:tcPr>
            <w:tcW w:w="801" w:type="dxa"/>
            <w:vAlign w:val="center"/>
          </w:tcPr>
          <w:p w14:paraId="48704DFB"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0</w:t>
            </w:r>
          </w:p>
        </w:tc>
        <w:tc>
          <w:tcPr>
            <w:tcW w:w="802" w:type="dxa"/>
            <w:vAlign w:val="center"/>
          </w:tcPr>
          <w:p w14:paraId="176C732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w:t>
            </w:r>
          </w:p>
        </w:tc>
        <w:tc>
          <w:tcPr>
            <w:tcW w:w="802" w:type="dxa"/>
            <w:vAlign w:val="center"/>
          </w:tcPr>
          <w:p w14:paraId="368B226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w:t>
            </w:r>
          </w:p>
        </w:tc>
        <w:tc>
          <w:tcPr>
            <w:tcW w:w="803" w:type="dxa"/>
            <w:vAlign w:val="center"/>
          </w:tcPr>
          <w:p w14:paraId="12B44EFF"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w:t>
            </w:r>
          </w:p>
        </w:tc>
        <w:tc>
          <w:tcPr>
            <w:tcW w:w="802" w:type="dxa"/>
            <w:vAlign w:val="center"/>
          </w:tcPr>
          <w:p w14:paraId="2A47443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w:t>
            </w:r>
          </w:p>
        </w:tc>
        <w:tc>
          <w:tcPr>
            <w:tcW w:w="957" w:type="dxa"/>
            <w:vAlign w:val="center"/>
          </w:tcPr>
          <w:p w14:paraId="0B118319"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61</w:t>
            </w:r>
          </w:p>
        </w:tc>
      </w:tr>
    </w:tbl>
    <w:p w14:paraId="3CF45F52" w14:textId="3C82A74E" w:rsidR="009F762E" w:rsidRPr="00242DFB" w:rsidRDefault="00000000" w:rsidP="005B2285">
      <w:pPr>
        <w:spacing w:line="360" w:lineRule="auto"/>
        <w:jc w:val="both"/>
        <w:rPr>
          <w:rFonts w:ascii="Arial" w:hAnsi="Arial" w:cs="Arial"/>
          <w:color w:val="000000" w:themeColor="text1"/>
          <w:sz w:val="16"/>
          <w:szCs w:val="16"/>
        </w:rPr>
      </w:pPr>
      <w:r w:rsidRPr="00242DFB">
        <w:rPr>
          <w:rFonts w:ascii="Arial" w:hAnsi="Arial" w:cs="Arial"/>
          <w:color w:val="000000"/>
          <w:sz w:val="16"/>
          <w:szCs w:val="16"/>
        </w:rPr>
        <w:t xml:space="preserve">Fuente: Capital Salud EPS-S Respuesta al requerimiento No. 026-EE-54444 de la Subdirección de Garantía del Aseguramiento, mediante la cual se remite información de medicamentos </w:t>
      </w:r>
      <w:r w:rsidR="00972743">
        <w:rPr>
          <w:rFonts w:ascii="Arial" w:hAnsi="Arial" w:cs="Arial"/>
          <w:color w:val="000000"/>
          <w:sz w:val="16"/>
          <w:szCs w:val="16"/>
        </w:rPr>
        <w:t>pendientes</w:t>
      </w:r>
      <w:r w:rsidRPr="00242DFB">
        <w:rPr>
          <w:rFonts w:ascii="Arial" w:hAnsi="Arial" w:cs="Arial"/>
          <w:color w:val="000000"/>
          <w:sz w:val="16"/>
          <w:szCs w:val="16"/>
        </w:rPr>
        <w:t xml:space="preserve"> por cohorte (serie mensual enero–octubre de 2025).</w:t>
      </w:r>
    </w:p>
    <w:p w14:paraId="05F996AC"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5315FBB5" w14:textId="4D6F9F00"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En el análisis realizado a la información aportada por Capital Salud EPS-S en la Tabla </w:t>
      </w:r>
      <w:r w:rsidR="00894C96" w:rsidRPr="00242DFB">
        <w:rPr>
          <w:rFonts w:ascii="Arial" w:eastAsia="Arial" w:hAnsi="Arial" w:cs="Arial"/>
          <w:color w:val="000000"/>
        </w:rPr>
        <w:t>20</w:t>
      </w:r>
      <w:r w:rsidRPr="00242DFB">
        <w:rPr>
          <w:rFonts w:ascii="Arial" w:eastAsia="Arial" w:hAnsi="Arial" w:cs="Arial"/>
          <w:color w:val="000000"/>
        </w:rPr>
        <w:t>, se evidencia una alta concentración de medicamentos pendientes en las cohortes de Cáncer y Artritis, las cuales acumulan 57.302 pendientes durante el periodo evaluado, equivalentes al 79,8% del total registrado para las cohortes priorizadas.</w:t>
      </w:r>
    </w:p>
    <w:p w14:paraId="0D662393" w14:textId="77777777" w:rsidR="009F762E" w:rsidRPr="00242DFB" w:rsidRDefault="009F762E" w:rsidP="005B2285">
      <w:pPr>
        <w:spacing w:line="360" w:lineRule="auto"/>
        <w:jc w:val="both"/>
        <w:rPr>
          <w:rFonts w:ascii="Arial" w:hAnsi="Arial" w:cs="Arial"/>
          <w:color w:val="000000" w:themeColor="text1"/>
        </w:rPr>
      </w:pPr>
    </w:p>
    <w:p w14:paraId="226F898F"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al comparar el comportamiento de los medicamentos solicitados con el volumen de pendientes, se observa que algunas cohortes mantienen de forma persistente una proporción relevante de medicamentos sin entrega completa. En el caso de cáncer, por ejemplo, los pendientes representan aproximadamente el 19,3 % del total de medicamentos solicitados durante el periodo analizado (41.472 de 214.680), mientras que en artritis alcanzan cerca del 20%. Este comportamiento sugiere que una parte importante de la demanda farmacéutica no estaría siendo resuelta de manera inmediata, generando acumulación de pendientes a lo largo de los meses.</w:t>
      </w:r>
    </w:p>
    <w:p w14:paraId="2BFCED8B"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2131C8FC"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Por otra parte, aunque a partir de julio se evidencia una disminución generalizada en el número de pendientes para la mayoría de las cohortes, el descenso ocurre de manera simultánea en casi todos los grupos poblacionales, incluyendo aquellos con </w:t>
      </w:r>
      <w:r w:rsidRPr="00242DFB">
        <w:rPr>
          <w:rFonts w:ascii="Arial" w:eastAsia="Arial" w:hAnsi="Arial" w:cs="Arial"/>
          <w:color w:val="000000"/>
        </w:rPr>
        <w:lastRenderedPageBreak/>
        <w:t>dinámicas clínicas y volúmenes de demanda diferentes. Esta situación podría indicar una mejora en los procesos de dispensación y abastecimiento; sin embargo, también podría estar relacionada con cambios en los criterios de medición, ajustes en la metodología de reporte o modificaciones en la definición operativa de pendiente, aspectos que requieren validación para determinar la causa real del comportamiento observado.</w:t>
      </w:r>
    </w:p>
    <w:p w14:paraId="0DF83D12"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074BA6FF" w14:textId="659AB8C1"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Aunque, las cohortes de enfermedades</w:t>
      </w:r>
      <w:r w:rsidR="00EE5F62">
        <w:rPr>
          <w:rFonts w:ascii="Arial" w:eastAsia="Arial" w:hAnsi="Arial" w:cs="Arial"/>
          <w:color w:val="000000"/>
        </w:rPr>
        <w:t xml:space="preserve"> huérfanas</w:t>
      </w:r>
      <w:r w:rsidRPr="00242DFB">
        <w:rPr>
          <w:rFonts w:ascii="Arial" w:eastAsia="Arial" w:hAnsi="Arial" w:cs="Arial"/>
          <w:color w:val="000000"/>
        </w:rPr>
        <w:t>, trasplantados, hemofilia y hepatitis C muestran menores volúmenes absolutos de pendientes (en consonancia con la concentración de medicamentos solicitados); no obstante, debido a la complejidad clínica de estos pacientes y a la dependencia de medicamentos especializados, incluso un número reducido de pendientes puede tener consecuencias significativas sobre la evolución de la enfermedad. Por esta razón, el análisis de estas cohortes debe considerar no solo la cantidad de pendientes, sino también el impacto potencial que su no entrega puede generar sobre la continuidad de los tratamientos.</w:t>
      </w:r>
    </w:p>
    <w:p w14:paraId="7C5234BD"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78BE2806"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Finalmente, la persistencia de medicamentos pendientes en la mayoría de las cohortes durante la totalidad del periodo evaluado evidencia que el fenómeno no corresponde a eventos aislados o coyunturales, sino que constituye un comportamiento recurrente dentro del proceso de dispensación farmacéutica. Lo anterior sugiere la necesidad de fortalecer las estrategias de abastecimiento, programación de inventarios, seguimiento a entregas parciales y monitoreo de la oportunidad en la dispensación, especialmente en aquellas cohortes que concentran la mayor carga de enfermedad y riesgo clínico.</w:t>
      </w:r>
    </w:p>
    <w:p w14:paraId="321267A4" w14:textId="30F0FFA6" w:rsidR="009F762E" w:rsidRPr="00242DFB" w:rsidRDefault="009F762E" w:rsidP="005B2285">
      <w:pPr>
        <w:spacing w:line="360" w:lineRule="auto"/>
        <w:jc w:val="center"/>
        <w:rPr>
          <w:rFonts w:ascii="Arial" w:hAnsi="Arial" w:cs="Arial"/>
          <w:color w:val="000000" w:themeColor="text1"/>
          <w:sz w:val="36"/>
          <w:szCs w:val="36"/>
        </w:rPr>
      </w:pPr>
    </w:p>
    <w:p w14:paraId="45186111" w14:textId="36866D7C" w:rsidR="00894C96" w:rsidRPr="00242DFB" w:rsidRDefault="00894C96" w:rsidP="005B2285">
      <w:pPr>
        <w:pStyle w:val="Descripcin"/>
        <w:keepNext/>
        <w:spacing w:after="0"/>
        <w:jc w:val="center"/>
        <w:rPr>
          <w:rFonts w:ascii="Arial" w:hAnsi="Arial" w:cs="Arial"/>
          <w:color w:val="000000" w:themeColor="text1"/>
          <w:sz w:val="24"/>
          <w:szCs w:val="24"/>
        </w:rPr>
      </w:pPr>
      <w:bookmarkStart w:id="101" w:name="_Toc233574881"/>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21</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Medicamentos pendientes sin entrega efectiva por cohorte priorizada, serie mensual enero-octubre de 2025</w:t>
      </w:r>
      <w:bookmarkEnd w:id="101"/>
    </w:p>
    <w:tbl>
      <w:tblPr>
        <w:tblStyle w:val="Tablaconcuadrcula"/>
        <w:tblW w:w="10599" w:type="dxa"/>
        <w:jc w:val="center"/>
        <w:tblLayout w:type="fixed"/>
        <w:tblLook w:val="06A0" w:firstRow="1" w:lastRow="0" w:firstColumn="1" w:lastColumn="0" w:noHBand="1" w:noVBand="1"/>
      </w:tblPr>
      <w:tblGrid>
        <w:gridCol w:w="1779"/>
        <w:gridCol w:w="801"/>
        <w:gridCol w:w="801"/>
        <w:gridCol w:w="801"/>
        <w:gridCol w:w="801"/>
        <w:gridCol w:w="801"/>
        <w:gridCol w:w="801"/>
        <w:gridCol w:w="801"/>
        <w:gridCol w:w="801"/>
        <w:gridCol w:w="776"/>
        <w:gridCol w:w="655"/>
        <w:gridCol w:w="965"/>
        <w:gridCol w:w="16"/>
      </w:tblGrid>
      <w:tr w:rsidR="009F762E" w:rsidRPr="00242DFB" w14:paraId="47CA73B3" w14:textId="77777777" w:rsidTr="00894C96">
        <w:trPr>
          <w:cantSplit/>
          <w:trHeight w:val="340"/>
          <w:jc w:val="center"/>
        </w:trPr>
        <w:tc>
          <w:tcPr>
            <w:tcW w:w="1779" w:type="dxa"/>
            <w:vMerge w:val="restart"/>
            <w:vAlign w:val="center"/>
          </w:tcPr>
          <w:p w14:paraId="422B378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 xml:space="preserve">Cohorte </w:t>
            </w:r>
          </w:p>
        </w:tc>
        <w:tc>
          <w:tcPr>
            <w:tcW w:w="8820" w:type="dxa"/>
            <w:gridSpan w:val="12"/>
            <w:vAlign w:val="center"/>
          </w:tcPr>
          <w:p w14:paraId="0EFE2B29" w14:textId="6B13D98F" w:rsidR="009F762E" w:rsidRPr="00242DFB" w:rsidRDefault="00894C96"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kern w:val="2"/>
              </w:rPr>
              <w:t>Total,</w:t>
            </w:r>
            <w:r w:rsidR="00000000" w:rsidRPr="00242DFB">
              <w:rPr>
                <w:rFonts w:ascii="Arial" w:eastAsia="Arial" w:hAnsi="Arial" w:cs="Arial"/>
                <w:b/>
                <w:bCs/>
                <w:color w:val="000000" w:themeColor="text1"/>
                <w:kern w:val="2"/>
              </w:rPr>
              <w:t xml:space="preserve"> de medicamentos pendientes sin entrega efectiva</w:t>
            </w:r>
          </w:p>
        </w:tc>
      </w:tr>
      <w:tr w:rsidR="00894C96" w:rsidRPr="00242DFB" w14:paraId="70659861" w14:textId="77777777" w:rsidTr="00894C96">
        <w:trPr>
          <w:gridAfter w:val="1"/>
          <w:wAfter w:w="16" w:type="dxa"/>
          <w:cantSplit/>
          <w:trHeight w:val="226"/>
          <w:jc w:val="center"/>
        </w:trPr>
        <w:tc>
          <w:tcPr>
            <w:tcW w:w="1779" w:type="dxa"/>
            <w:vMerge/>
            <w:vAlign w:val="center"/>
          </w:tcPr>
          <w:p w14:paraId="3CC56F85" w14:textId="77777777" w:rsidR="009F762E" w:rsidRPr="00242DFB" w:rsidRDefault="009F762E" w:rsidP="005B2285">
            <w:pPr>
              <w:spacing w:line="360" w:lineRule="auto"/>
              <w:rPr>
                <w:rFonts w:ascii="Arial" w:hAnsi="Arial" w:cs="Arial"/>
                <w:color w:val="000000" w:themeColor="text1"/>
              </w:rPr>
            </w:pPr>
          </w:p>
        </w:tc>
        <w:tc>
          <w:tcPr>
            <w:tcW w:w="801" w:type="dxa"/>
            <w:vAlign w:val="center"/>
          </w:tcPr>
          <w:p w14:paraId="7D5424D1"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ene-25</w:t>
            </w:r>
          </w:p>
        </w:tc>
        <w:tc>
          <w:tcPr>
            <w:tcW w:w="801" w:type="dxa"/>
            <w:vAlign w:val="center"/>
          </w:tcPr>
          <w:p w14:paraId="20156E86"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feb-25</w:t>
            </w:r>
          </w:p>
        </w:tc>
        <w:tc>
          <w:tcPr>
            <w:tcW w:w="801" w:type="dxa"/>
            <w:vAlign w:val="center"/>
          </w:tcPr>
          <w:p w14:paraId="713DC33F"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mar-25</w:t>
            </w:r>
          </w:p>
        </w:tc>
        <w:tc>
          <w:tcPr>
            <w:tcW w:w="801" w:type="dxa"/>
            <w:vAlign w:val="center"/>
          </w:tcPr>
          <w:p w14:paraId="69784D68"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abr-25</w:t>
            </w:r>
          </w:p>
        </w:tc>
        <w:tc>
          <w:tcPr>
            <w:tcW w:w="801" w:type="dxa"/>
            <w:vAlign w:val="center"/>
          </w:tcPr>
          <w:p w14:paraId="473E82FF"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may-25</w:t>
            </w:r>
          </w:p>
        </w:tc>
        <w:tc>
          <w:tcPr>
            <w:tcW w:w="801" w:type="dxa"/>
            <w:vAlign w:val="center"/>
          </w:tcPr>
          <w:p w14:paraId="44343FE9"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jun-25</w:t>
            </w:r>
          </w:p>
        </w:tc>
        <w:tc>
          <w:tcPr>
            <w:tcW w:w="801" w:type="dxa"/>
            <w:vAlign w:val="center"/>
          </w:tcPr>
          <w:p w14:paraId="2384AE3B"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jul-25</w:t>
            </w:r>
          </w:p>
        </w:tc>
        <w:tc>
          <w:tcPr>
            <w:tcW w:w="801" w:type="dxa"/>
            <w:vAlign w:val="center"/>
          </w:tcPr>
          <w:p w14:paraId="341CC61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ago-25</w:t>
            </w:r>
          </w:p>
        </w:tc>
        <w:tc>
          <w:tcPr>
            <w:tcW w:w="776" w:type="dxa"/>
            <w:vAlign w:val="center"/>
          </w:tcPr>
          <w:p w14:paraId="4EE7D364"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sept-25</w:t>
            </w:r>
          </w:p>
        </w:tc>
        <w:tc>
          <w:tcPr>
            <w:tcW w:w="655" w:type="dxa"/>
            <w:vAlign w:val="center"/>
          </w:tcPr>
          <w:p w14:paraId="2EA59346"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oct-25</w:t>
            </w:r>
          </w:p>
        </w:tc>
        <w:tc>
          <w:tcPr>
            <w:tcW w:w="965" w:type="dxa"/>
            <w:vAlign w:val="center"/>
          </w:tcPr>
          <w:p w14:paraId="210FA62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b/>
                <w:bCs/>
                <w:color w:val="000000" w:themeColor="text1"/>
                <w:kern w:val="2"/>
                <w:sz w:val="16"/>
                <w:szCs w:val="16"/>
              </w:rPr>
              <w:t>TOTAL</w:t>
            </w:r>
          </w:p>
        </w:tc>
      </w:tr>
      <w:tr w:rsidR="00894C96" w:rsidRPr="00242DFB" w14:paraId="138EA367" w14:textId="77777777" w:rsidTr="00894C96">
        <w:trPr>
          <w:gridAfter w:val="1"/>
          <w:wAfter w:w="16" w:type="dxa"/>
          <w:cantSplit/>
          <w:trHeight w:val="226"/>
          <w:jc w:val="center"/>
        </w:trPr>
        <w:tc>
          <w:tcPr>
            <w:tcW w:w="1779" w:type="dxa"/>
            <w:vAlign w:val="center"/>
          </w:tcPr>
          <w:p w14:paraId="0493B143"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Cáncer</w:t>
            </w:r>
          </w:p>
        </w:tc>
        <w:tc>
          <w:tcPr>
            <w:tcW w:w="801" w:type="dxa"/>
            <w:vAlign w:val="center"/>
          </w:tcPr>
          <w:p w14:paraId="3103F9B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2.629</w:t>
            </w:r>
          </w:p>
        </w:tc>
        <w:tc>
          <w:tcPr>
            <w:tcW w:w="801" w:type="dxa"/>
            <w:vAlign w:val="center"/>
          </w:tcPr>
          <w:p w14:paraId="00906317"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2.759</w:t>
            </w:r>
          </w:p>
        </w:tc>
        <w:tc>
          <w:tcPr>
            <w:tcW w:w="801" w:type="dxa"/>
            <w:vAlign w:val="center"/>
          </w:tcPr>
          <w:p w14:paraId="3E3608E7"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3.437</w:t>
            </w:r>
          </w:p>
        </w:tc>
        <w:tc>
          <w:tcPr>
            <w:tcW w:w="801" w:type="dxa"/>
            <w:vAlign w:val="center"/>
          </w:tcPr>
          <w:p w14:paraId="3A004B74"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3.007</w:t>
            </w:r>
          </w:p>
        </w:tc>
        <w:tc>
          <w:tcPr>
            <w:tcW w:w="801" w:type="dxa"/>
            <w:vAlign w:val="center"/>
          </w:tcPr>
          <w:p w14:paraId="385B75A9"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2.879</w:t>
            </w:r>
          </w:p>
        </w:tc>
        <w:tc>
          <w:tcPr>
            <w:tcW w:w="801" w:type="dxa"/>
            <w:vAlign w:val="center"/>
          </w:tcPr>
          <w:p w14:paraId="27BDAA0A"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1.624</w:t>
            </w:r>
          </w:p>
        </w:tc>
        <w:tc>
          <w:tcPr>
            <w:tcW w:w="801" w:type="dxa"/>
            <w:vAlign w:val="center"/>
          </w:tcPr>
          <w:p w14:paraId="32310CB6"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1.237</w:t>
            </w:r>
          </w:p>
        </w:tc>
        <w:tc>
          <w:tcPr>
            <w:tcW w:w="801" w:type="dxa"/>
            <w:vAlign w:val="center"/>
          </w:tcPr>
          <w:p w14:paraId="1EC17C1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1.047</w:t>
            </w:r>
          </w:p>
        </w:tc>
        <w:tc>
          <w:tcPr>
            <w:tcW w:w="776" w:type="dxa"/>
            <w:vAlign w:val="center"/>
          </w:tcPr>
          <w:p w14:paraId="7FC2F76A"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920</w:t>
            </w:r>
          </w:p>
        </w:tc>
        <w:tc>
          <w:tcPr>
            <w:tcW w:w="655" w:type="dxa"/>
            <w:vAlign w:val="center"/>
          </w:tcPr>
          <w:p w14:paraId="759A9504"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656</w:t>
            </w:r>
          </w:p>
        </w:tc>
        <w:tc>
          <w:tcPr>
            <w:tcW w:w="965" w:type="dxa"/>
            <w:vAlign w:val="center"/>
          </w:tcPr>
          <w:p w14:paraId="4653AFDE"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20.195</w:t>
            </w:r>
          </w:p>
        </w:tc>
      </w:tr>
      <w:tr w:rsidR="00894C96" w:rsidRPr="00242DFB" w14:paraId="4F5941D8" w14:textId="77777777" w:rsidTr="00894C96">
        <w:trPr>
          <w:gridAfter w:val="1"/>
          <w:wAfter w:w="16" w:type="dxa"/>
          <w:cantSplit/>
          <w:trHeight w:val="226"/>
          <w:jc w:val="center"/>
        </w:trPr>
        <w:tc>
          <w:tcPr>
            <w:tcW w:w="1779" w:type="dxa"/>
            <w:vAlign w:val="center"/>
          </w:tcPr>
          <w:p w14:paraId="621F7265"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lastRenderedPageBreak/>
              <w:t>Artritis</w:t>
            </w:r>
          </w:p>
        </w:tc>
        <w:tc>
          <w:tcPr>
            <w:tcW w:w="801" w:type="dxa"/>
            <w:vAlign w:val="center"/>
          </w:tcPr>
          <w:p w14:paraId="6B746D92"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1.058</w:t>
            </w:r>
          </w:p>
        </w:tc>
        <w:tc>
          <w:tcPr>
            <w:tcW w:w="801" w:type="dxa"/>
            <w:vAlign w:val="center"/>
          </w:tcPr>
          <w:p w14:paraId="6C9C74EB"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1.186</w:t>
            </w:r>
          </w:p>
        </w:tc>
        <w:tc>
          <w:tcPr>
            <w:tcW w:w="801" w:type="dxa"/>
            <w:vAlign w:val="center"/>
          </w:tcPr>
          <w:p w14:paraId="493E5761"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1.458</w:t>
            </w:r>
          </w:p>
        </w:tc>
        <w:tc>
          <w:tcPr>
            <w:tcW w:w="801" w:type="dxa"/>
            <w:vAlign w:val="center"/>
          </w:tcPr>
          <w:p w14:paraId="77AAEF63"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1.051</w:t>
            </w:r>
          </w:p>
        </w:tc>
        <w:tc>
          <w:tcPr>
            <w:tcW w:w="801" w:type="dxa"/>
            <w:vAlign w:val="center"/>
          </w:tcPr>
          <w:p w14:paraId="73AEB048"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1.259</w:t>
            </w:r>
          </w:p>
        </w:tc>
        <w:tc>
          <w:tcPr>
            <w:tcW w:w="801" w:type="dxa"/>
            <w:vAlign w:val="center"/>
          </w:tcPr>
          <w:p w14:paraId="0FADBC29"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660</w:t>
            </w:r>
          </w:p>
        </w:tc>
        <w:tc>
          <w:tcPr>
            <w:tcW w:w="801" w:type="dxa"/>
            <w:vAlign w:val="center"/>
          </w:tcPr>
          <w:p w14:paraId="17182A11"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485</w:t>
            </w:r>
          </w:p>
        </w:tc>
        <w:tc>
          <w:tcPr>
            <w:tcW w:w="801" w:type="dxa"/>
            <w:vAlign w:val="center"/>
          </w:tcPr>
          <w:p w14:paraId="1512985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331</w:t>
            </w:r>
          </w:p>
        </w:tc>
        <w:tc>
          <w:tcPr>
            <w:tcW w:w="776" w:type="dxa"/>
            <w:vAlign w:val="center"/>
          </w:tcPr>
          <w:p w14:paraId="056BAE28"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344</w:t>
            </w:r>
          </w:p>
        </w:tc>
        <w:tc>
          <w:tcPr>
            <w:tcW w:w="655" w:type="dxa"/>
            <w:vAlign w:val="center"/>
          </w:tcPr>
          <w:p w14:paraId="0F04F8DF"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259</w:t>
            </w:r>
          </w:p>
        </w:tc>
        <w:tc>
          <w:tcPr>
            <w:tcW w:w="965" w:type="dxa"/>
            <w:vAlign w:val="center"/>
          </w:tcPr>
          <w:p w14:paraId="4CCC294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8.091</w:t>
            </w:r>
          </w:p>
        </w:tc>
      </w:tr>
      <w:tr w:rsidR="00894C96" w:rsidRPr="00242DFB" w14:paraId="74B07152" w14:textId="77777777" w:rsidTr="00894C96">
        <w:trPr>
          <w:gridAfter w:val="1"/>
          <w:wAfter w:w="16" w:type="dxa"/>
          <w:cantSplit/>
          <w:trHeight w:val="226"/>
          <w:jc w:val="center"/>
        </w:trPr>
        <w:tc>
          <w:tcPr>
            <w:tcW w:w="1779" w:type="dxa"/>
            <w:vAlign w:val="center"/>
          </w:tcPr>
          <w:p w14:paraId="2E3FD143"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ERC</w:t>
            </w:r>
          </w:p>
        </w:tc>
        <w:tc>
          <w:tcPr>
            <w:tcW w:w="801" w:type="dxa"/>
            <w:vAlign w:val="center"/>
          </w:tcPr>
          <w:p w14:paraId="614BD05A"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392</w:t>
            </w:r>
          </w:p>
        </w:tc>
        <w:tc>
          <w:tcPr>
            <w:tcW w:w="801" w:type="dxa"/>
            <w:vAlign w:val="center"/>
          </w:tcPr>
          <w:p w14:paraId="348504CE"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388</w:t>
            </w:r>
          </w:p>
        </w:tc>
        <w:tc>
          <w:tcPr>
            <w:tcW w:w="801" w:type="dxa"/>
            <w:vAlign w:val="center"/>
          </w:tcPr>
          <w:p w14:paraId="6E163331"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560</w:t>
            </w:r>
          </w:p>
        </w:tc>
        <w:tc>
          <w:tcPr>
            <w:tcW w:w="801" w:type="dxa"/>
            <w:vAlign w:val="center"/>
          </w:tcPr>
          <w:p w14:paraId="64B6CF44"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464</w:t>
            </w:r>
          </w:p>
        </w:tc>
        <w:tc>
          <w:tcPr>
            <w:tcW w:w="801" w:type="dxa"/>
            <w:vAlign w:val="center"/>
          </w:tcPr>
          <w:p w14:paraId="543A5644"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423</w:t>
            </w:r>
          </w:p>
        </w:tc>
        <w:tc>
          <w:tcPr>
            <w:tcW w:w="801" w:type="dxa"/>
            <w:vAlign w:val="center"/>
          </w:tcPr>
          <w:p w14:paraId="5D0C647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227</w:t>
            </w:r>
          </w:p>
        </w:tc>
        <w:tc>
          <w:tcPr>
            <w:tcW w:w="801" w:type="dxa"/>
            <w:vAlign w:val="center"/>
          </w:tcPr>
          <w:p w14:paraId="3F77FDEE"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224</w:t>
            </w:r>
          </w:p>
        </w:tc>
        <w:tc>
          <w:tcPr>
            <w:tcW w:w="801" w:type="dxa"/>
            <w:vAlign w:val="center"/>
          </w:tcPr>
          <w:p w14:paraId="79556A3A"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124</w:t>
            </w:r>
          </w:p>
        </w:tc>
        <w:tc>
          <w:tcPr>
            <w:tcW w:w="776" w:type="dxa"/>
            <w:vAlign w:val="center"/>
          </w:tcPr>
          <w:p w14:paraId="5CD919F2"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120</w:t>
            </w:r>
          </w:p>
        </w:tc>
        <w:tc>
          <w:tcPr>
            <w:tcW w:w="655" w:type="dxa"/>
            <w:vAlign w:val="center"/>
          </w:tcPr>
          <w:p w14:paraId="0FC541E4"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112</w:t>
            </w:r>
          </w:p>
        </w:tc>
        <w:tc>
          <w:tcPr>
            <w:tcW w:w="965" w:type="dxa"/>
            <w:vAlign w:val="center"/>
          </w:tcPr>
          <w:p w14:paraId="1D7D8DAA"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3.034</w:t>
            </w:r>
          </w:p>
        </w:tc>
      </w:tr>
      <w:tr w:rsidR="00894C96" w:rsidRPr="00242DFB" w14:paraId="5F28072A" w14:textId="77777777" w:rsidTr="00894C96">
        <w:trPr>
          <w:gridAfter w:val="1"/>
          <w:wAfter w:w="16" w:type="dxa"/>
          <w:cantSplit/>
          <w:trHeight w:val="226"/>
          <w:jc w:val="center"/>
        </w:trPr>
        <w:tc>
          <w:tcPr>
            <w:tcW w:w="1779" w:type="dxa"/>
            <w:vAlign w:val="center"/>
          </w:tcPr>
          <w:p w14:paraId="2FF84A54"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VIH</w:t>
            </w:r>
          </w:p>
        </w:tc>
        <w:tc>
          <w:tcPr>
            <w:tcW w:w="801" w:type="dxa"/>
            <w:vAlign w:val="center"/>
          </w:tcPr>
          <w:p w14:paraId="634855F3"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385</w:t>
            </w:r>
          </w:p>
        </w:tc>
        <w:tc>
          <w:tcPr>
            <w:tcW w:w="801" w:type="dxa"/>
            <w:vAlign w:val="center"/>
          </w:tcPr>
          <w:p w14:paraId="6916388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372</w:t>
            </w:r>
          </w:p>
        </w:tc>
        <w:tc>
          <w:tcPr>
            <w:tcW w:w="801" w:type="dxa"/>
            <w:vAlign w:val="center"/>
          </w:tcPr>
          <w:p w14:paraId="14834014"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513</w:t>
            </w:r>
          </w:p>
        </w:tc>
        <w:tc>
          <w:tcPr>
            <w:tcW w:w="801" w:type="dxa"/>
            <w:vAlign w:val="center"/>
          </w:tcPr>
          <w:p w14:paraId="0A3DF91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370</w:t>
            </w:r>
          </w:p>
        </w:tc>
        <w:tc>
          <w:tcPr>
            <w:tcW w:w="801" w:type="dxa"/>
            <w:vAlign w:val="center"/>
          </w:tcPr>
          <w:p w14:paraId="068A89B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386</w:t>
            </w:r>
          </w:p>
        </w:tc>
        <w:tc>
          <w:tcPr>
            <w:tcW w:w="801" w:type="dxa"/>
            <w:vAlign w:val="center"/>
          </w:tcPr>
          <w:p w14:paraId="0BD192C3"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218</w:t>
            </w:r>
          </w:p>
        </w:tc>
        <w:tc>
          <w:tcPr>
            <w:tcW w:w="801" w:type="dxa"/>
            <w:vAlign w:val="center"/>
          </w:tcPr>
          <w:p w14:paraId="01F80A8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150</w:t>
            </w:r>
          </w:p>
        </w:tc>
        <w:tc>
          <w:tcPr>
            <w:tcW w:w="801" w:type="dxa"/>
            <w:vAlign w:val="center"/>
          </w:tcPr>
          <w:p w14:paraId="23B9702F"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144</w:t>
            </w:r>
          </w:p>
        </w:tc>
        <w:tc>
          <w:tcPr>
            <w:tcW w:w="776" w:type="dxa"/>
            <w:vAlign w:val="center"/>
          </w:tcPr>
          <w:p w14:paraId="1C116DF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127</w:t>
            </w:r>
          </w:p>
        </w:tc>
        <w:tc>
          <w:tcPr>
            <w:tcW w:w="655" w:type="dxa"/>
            <w:vAlign w:val="center"/>
          </w:tcPr>
          <w:p w14:paraId="63B400EE"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73</w:t>
            </w:r>
          </w:p>
        </w:tc>
        <w:tc>
          <w:tcPr>
            <w:tcW w:w="965" w:type="dxa"/>
            <w:vAlign w:val="center"/>
          </w:tcPr>
          <w:p w14:paraId="0B949BC2" w14:textId="28129F49"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w:t>
            </w:r>
            <w:r w:rsidR="001423CA">
              <w:rPr>
                <w:rFonts w:ascii="Arial" w:eastAsia="Arial" w:hAnsi="Arial" w:cs="Arial"/>
                <w:color w:val="000000" w:themeColor="text1"/>
                <w:kern w:val="2"/>
                <w:sz w:val="16"/>
                <w:szCs w:val="16"/>
              </w:rPr>
              <w:t>.</w:t>
            </w:r>
            <w:r w:rsidRPr="00242DFB">
              <w:rPr>
                <w:rFonts w:ascii="Arial" w:eastAsia="Arial" w:hAnsi="Arial" w:cs="Arial"/>
                <w:color w:val="000000" w:themeColor="text1"/>
                <w:kern w:val="2"/>
                <w:sz w:val="16"/>
                <w:szCs w:val="16"/>
              </w:rPr>
              <w:t>738</w:t>
            </w:r>
          </w:p>
        </w:tc>
      </w:tr>
      <w:tr w:rsidR="00894C96" w:rsidRPr="00242DFB" w14:paraId="6C64F0CE" w14:textId="77777777" w:rsidTr="00894C96">
        <w:trPr>
          <w:gridAfter w:val="1"/>
          <w:wAfter w:w="16" w:type="dxa"/>
          <w:cantSplit/>
          <w:trHeight w:val="226"/>
          <w:jc w:val="center"/>
        </w:trPr>
        <w:tc>
          <w:tcPr>
            <w:tcW w:w="1779" w:type="dxa"/>
            <w:vAlign w:val="center"/>
          </w:tcPr>
          <w:p w14:paraId="1DA7BE1C"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Huérfanas</w:t>
            </w:r>
          </w:p>
        </w:tc>
        <w:tc>
          <w:tcPr>
            <w:tcW w:w="801" w:type="dxa"/>
            <w:vAlign w:val="center"/>
          </w:tcPr>
          <w:p w14:paraId="47350892"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165</w:t>
            </w:r>
          </w:p>
        </w:tc>
        <w:tc>
          <w:tcPr>
            <w:tcW w:w="801" w:type="dxa"/>
            <w:vAlign w:val="center"/>
          </w:tcPr>
          <w:p w14:paraId="58969F0E"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212</w:t>
            </w:r>
          </w:p>
        </w:tc>
        <w:tc>
          <w:tcPr>
            <w:tcW w:w="801" w:type="dxa"/>
            <w:vAlign w:val="center"/>
          </w:tcPr>
          <w:p w14:paraId="2560CA02"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284</w:t>
            </w:r>
          </w:p>
        </w:tc>
        <w:tc>
          <w:tcPr>
            <w:tcW w:w="801" w:type="dxa"/>
            <w:vAlign w:val="center"/>
          </w:tcPr>
          <w:p w14:paraId="0D32741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207</w:t>
            </w:r>
          </w:p>
        </w:tc>
        <w:tc>
          <w:tcPr>
            <w:tcW w:w="801" w:type="dxa"/>
            <w:vAlign w:val="center"/>
          </w:tcPr>
          <w:p w14:paraId="639D37A7"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198</w:t>
            </w:r>
          </w:p>
        </w:tc>
        <w:tc>
          <w:tcPr>
            <w:tcW w:w="801" w:type="dxa"/>
            <w:vAlign w:val="center"/>
          </w:tcPr>
          <w:p w14:paraId="216CE793"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106</w:t>
            </w:r>
          </w:p>
        </w:tc>
        <w:tc>
          <w:tcPr>
            <w:tcW w:w="801" w:type="dxa"/>
            <w:vAlign w:val="center"/>
          </w:tcPr>
          <w:p w14:paraId="69FCA713"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108</w:t>
            </w:r>
          </w:p>
        </w:tc>
        <w:tc>
          <w:tcPr>
            <w:tcW w:w="801" w:type="dxa"/>
            <w:vAlign w:val="center"/>
          </w:tcPr>
          <w:p w14:paraId="1CA27858"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71</w:t>
            </w:r>
          </w:p>
        </w:tc>
        <w:tc>
          <w:tcPr>
            <w:tcW w:w="776" w:type="dxa"/>
            <w:vAlign w:val="center"/>
          </w:tcPr>
          <w:p w14:paraId="1FEF85C9"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85</w:t>
            </w:r>
          </w:p>
        </w:tc>
        <w:tc>
          <w:tcPr>
            <w:tcW w:w="655" w:type="dxa"/>
            <w:vAlign w:val="center"/>
          </w:tcPr>
          <w:p w14:paraId="42EC443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67</w:t>
            </w:r>
          </w:p>
        </w:tc>
        <w:tc>
          <w:tcPr>
            <w:tcW w:w="965" w:type="dxa"/>
            <w:vAlign w:val="center"/>
          </w:tcPr>
          <w:p w14:paraId="7D02B84A"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1.503</w:t>
            </w:r>
          </w:p>
        </w:tc>
      </w:tr>
      <w:tr w:rsidR="00894C96" w:rsidRPr="00242DFB" w14:paraId="16C6028A" w14:textId="77777777" w:rsidTr="00894C96">
        <w:trPr>
          <w:gridAfter w:val="1"/>
          <w:wAfter w:w="16" w:type="dxa"/>
          <w:cantSplit/>
          <w:trHeight w:val="226"/>
          <w:jc w:val="center"/>
        </w:trPr>
        <w:tc>
          <w:tcPr>
            <w:tcW w:w="1779" w:type="dxa"/>
            <w:vAlign w:val="center"/>
          </w:tcPr>
          <w:p w14:paraId="77770DD6"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Hepatitis C</w:t>
            </w:r>
          </w:p>
        </w:tc>
        <w:tc>
          <w:tcPr>
            <w:tcW w:w="801" w:type="dxa"/>
            <w:vAlign w:val="center"/>
          </w:tcPr>
          <w:p w14:paraId="2D5AC673"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16</w:t>
            </w:r>
          </w:p>
        </w:tc>
        <w:tc>
          <w:tcPr>
            <w:tcW w:w="801" w:type="dxa"/>
            <w:vAlign w:val="center"/>
          </w:tcPr>
          <w:p w14:paraId="0E7BFF6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w:t>
            </w:r>
          </w:p>
        </w:tc>
        <w:tc>
          <w:tcPr>
            <w:tcW w:w="801" w:type="dxa"/>
            <w:vAlign w:val="center"/>
          </w:tcPr>
          <w:p w14:paraId="46029D50"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11</w:t>
            </w:r>
          </w:p>
        </w:tc>
        <w:tc>
          <w:tcPr>
            <w:tcW w:w="801" w:type="dxa"/>
            <w:vAlign w:val="center"/>
          </w:tcPr>
          <w:p w14:paraId="6D59E00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w:t>
            </w:r>
          </w:p>
        </w:tc>
        <w:tc>
          <w:tcPr>
            <w:tcW w:w="801" w:type="dxa"/>
            <w:vAlign w:val="center"/>
          </w:tcPr>
          <w:p w14:paraId="2BF5325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19</w:t>
            </w:r>
          </w:p>
        </w:tc>
        <w:tc>
          <w:tcPr>
            <w:tcW w:w="801" w:type="dxa"/>
            <w:vAlign w:val="center"/>
          </w:tcPr>
          <w:p w14:paraId="7898B806"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11</w:t>
            </w:r>
          </w:p>
        </w:tc>
        <w:tc>
          <w:tcPr>
            <w:tcW w:w="801" w:type="dxa"/>
            <w:vAlign w:val="center"/>
          </w:tcPr>
          <w:p w14:paraId="15D8B38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w:t>
            </w:r>
          </w:p>
        </w:tc>
        <w:tc>
          <w:tcPr>
            <w:tcW w:w="801" w:type="dxa"/>
            <w:vAlign w:val="center"/>
          </w:tcPr>
          <w:p w14:paraId="356BBA2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w:t>
            </w:r>
          </w:p>
        </w:tc>
        <w:tc>
          <w:tcPr>
            <w:tcW w:w="776" w:type="dxa"/>
            <w:vAlign w:val="center"/>
          </w:tcPr>
          <w:p w14:paraId="00D2276B"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w:t>
            </w:r>
          </w:p>
        </w:tc>
        <w:tc>
          <w:tcPr>
            <w:tcW w:w="655" w:type="dxa"/>
            <w:vAlign w:val="center"/>
          </w:tcPr>
          <w:p w14:paraId="193EE9E6"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w:t>
            </w:r>
          </w:p>
        </w:tc>
        <w:tc>
          <w:tcPr>
            <w:tcW w:w="965" w:type="dxa"/>
            <w:vAlign w:val="center"/>
          </w:tcPr>
          <w:p w14:paraId="1D9FCE9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103</w:t>
            </w:r>
          </w:p>
        </w:tc>
      </w:tr>
      <w:tr w:rsidR="00894C96" w:rsidRPr="00242DFB" w14:paraId="1C856131" w14:textId="77777777" w:rsidTr="00894C96">
        <w:trPr>
          <w:gridAfter w:val="1"/>
          <w:wAfter w:w="16" w:type="dxa"/>
          <w:cantSplit/>
          <w:trHeight w:val="226"/>
          <w:jc w:val="center"/>
        </w:trPr>
        <w:tc>
          <w:tcPr>
            <w:tcW w:w="1779" w:type="dxa"/>
            <w:vAlign w:val="center"/>
          </w:tcPr>
          <w:p w14:paraId="455C2B62"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Trasplantados</w:t>
            </w:r>
          </w:p>
        </w:tc>
        <w:tc>
          <w:tcPr>
            <w:tcW w:w="801" w:type="dxa"/>
            <w:vAlign w:val="center"/>
          </w:tcPr>
          <w:p w14:paraId="7BF9161E"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14</w:t>
            </w:r>
          </w:p>
        </w:tc>
        <w:tc>
          <w:tcPr>
            <w:tcW w:w="801" w:type="dxa"/>
            <w:vAlign w:val="center"/>
          </w:tcPr>
          <w:p w14:paraId="1DD27862"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13</w:t>
            </w:r>
          </w:p>
        </w:tc>
        <w:tc>
          <w:tcPr>
            <w:tcW w:w="801" w:type="dxa"/>
            <w:vAlign w:val="center"/>
          </w:tcPr>
          <w:p w14:paraId="2E610844"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9</w:t>
            </w:r>
          </w:p>
        </w:tc>
        <w:tc>
          <w:tcPr>
            <w:tcW w:w="801" w:type="dxa"/>
            <w:vAlign w:val="center"/>
          </w:tcPr>
          <w:p w14:paraId="5B86E92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11</w:t>
            </w:r>
          </w:p>
        </w:tc>
        <w:tc>
          <w:tcPr>
            <w:tcW w:w="801" w:type="dxa"/>
            <w:vAlign w:val="center"/>
          </w:tcPr>
          <w:p w14:paraId="61AC4055"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w:t>
            </w:r>
          </w:p>
        </w:tc>
        <w:tc>
          <w:tcPr>
            <w:tcW w:w="801" w:type="dxa"/>
            <w:vAlign w:val="center"/>
          </w:tcPr>
          <w:p w14:paraId="282CE6AE"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w:t>
            </w:r>
          </w:p>
        </w:tc>
        <w:tc>
          <w:tcPr>
            <w:tcW w:w="801" w:type="dxa"/>
            <w:vAlign w:val="center"/>
          </w:tcPr>
          <w:p w14:paraId="5D9A66F8"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w:t>
            </w:r>
          </w:p>
        </w:tc>
        <w:tc>
          <w:tcPr>
            <w:tcW w:w="801" w:type="dxa"/>
            <w:vAlign w:val="center"/>
          </w:tcPr>
          <w:p w14:paraId="076D160F"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w:t>
            </w:r>
          </w:p>
        </w:tc>
        <w:tc>
          <w:tcPr>
            <w:tcW w:w="776" w:type="dxa"/>
            <w:vAlign w:val="center"/>
          </w:tcPr>
          <w:p w14:paraId="7EF3E861"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w:t>
            </w:r>
          </w:p>
        </w:tc>
        <w:tc>
          <w:tcPr>
            <w:tcW w:w="655" w:type="dxa"/>
            <w:vAlign w:val="center"/>
          </w:tcPr>
          <w:p w14:paraId="6E26D483"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w:t>
            </w:r>
          </w:p>
        </w:tc>
        <w:tc>
          <w:tcPr>
            <w:tcW w:w="965" w:type="dxa"/>
            <w:vAlign w:val="center"/>
          </w:tcPr>
          <w:p w14:paraId="62B3886B"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66</w:t>
            </w:r>
          </w:p>
        </w:tc>
      </w:tr>
      <w:tr w:rsidR="00894C96" w:rsidRPr="00242DFB" w14:paraId="45C341C3" w14:textId="77777777" w:rsidTr="00894C96">
        <w:trPr>
          <w:gridAfter w:val="1"/>
          <w:wAfter w:w="16" w:type="dxa"/>
          <w:cantSplit/>
          <w:trHeight w:val="251"/>
          <w:jc w:val="center"/>
        </w:trPr>
        <w:tc>
          <w:tcPr>
            <w:tcW w:w="1779" w:type="dxa"/>
            <w:vAlign w:val="center"/>
          </w:tcPr>
          <w:p w14:paraId="43EE52FE" w14:textId="77777777" w:rsidR="009F762E" w:rsidRPr="00242DFB" w:rsidRDefault="00000000" w:rsidP="005B2285">
            <w:pPr>
              <w:spacing w:line="360" w:lineRule="auto"/>
              <w:rPr>
                <w:rFonts w:ascii="Arial" w:hAnsi="Arial" w:cs="Arial"/>
                <w:color w:val="000000" w:themeColor="text1"/>
              </w:rPr>
            </w:pPr>
            <w:r w:rsidRPr="00242DFB">
              <w:rPr>
                <w:rFonts w:ascii="Arial" w:eastAsia="Arial" w:hAnsi="Arial" w:cs="Arial"/>
                <w:color w:val="000000" w:themeColor="text1"/>
                <w:kern w:val="2"/>
              </w:rPr>
              <w:t>Hemofilia</w:t>
            </w:r>
          </w:p>
        </w:tc>
        <w:tc>
          <w:tcPr>
            <w:tcW w:w="801" w:type="dxa"/>
            <w:vAlign w:val="center"/>
          </w:tcPr>
          <w:p w14:paraId="28F2AAF9"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w:t>
            </w:r>
          </w:p>
        </w:tc>
        <w:tc>
          <w:tcPr>
            <w:tcW w:w="801" w:type="dxa"/>
            <w:vAlign w:val="center"/>
          </w:tcPr>
          <w:p w14:paraId="0095DDF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w:t>
            </w:r>
          </w:p>
        </w:tc>
        <w:tc>
          <w:tcPr>
            <w:tcW w:w="801" w:type="dxa"/>
            <w:vAlign w:val="center"/>
          </w:tcPr>
          <w:p w14:paraId="1071E9FC"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w:t>
            </w:r>
          </w:p>
        </w:tc>
        <w:tc>
          <w:tcPr>
            <w:tcW w:w="801" w:type="dxa"/>
            <w:vAlign w:val="center"/>
          </w:tcPr>
          <w:p w14:paraId="7D2A2F6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4</w:t>
            </w:r>
          </w:p>
        </w:tc>
        <w:tc>
          <w:tcPr>
            <w:tcW w:w="801" w:type="dxa"/>
            <w:vAlign w:val="center"/>
          </w:tcPr>
          <w:p w14:paraId="566A6DDB"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6</w:t>
            </w:r>
          </w:p>
        </w:tc>
        <w:tc>
          <w:tcPr>
            <w:tcW w:w="801" w:type="dxa"/>
            <w:vAlign w:val="center"/>
          </w:tcPr>
          <w:p w14:paraId="4C055987"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0</w:t>
            </w:r>
          </w:p>
        </w:tc>
        <w:tc>
          <w:tcPr>
            <w:tcW w:w="801" w:type="dxa"/>
            <w:vAlign w:val="center"/>
          </w:tcPr>
          <w:p w14:paraId="04486A43"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5</w:t>
            </w:r>
          </w:p>
        </w:tc>
        <w:tc>
          <w:tcPr>
            <w:tcW w:w="801" w:type="dxa"/>
            <w:vAlign w:val="center"/>
          </w:tcPr>
          <w:p w14:paraId="69213420"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2</w:t>
            </w:r>
          </w:p>
        </w:tc>
        <w:tc>
          <w:tcPr>
            <w:tcW w:w="776" w:type="dxa"/>
            <w:vAlign w:val="center"/>
          </w:tcPr>
          <w:p w14:paraId="39D99AC6"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w:t>
            </w:r>
          </w:p>
        </w:tc>
        <w:tc>
          <w:tcPr>
            <w:tcW w:w="655" w:type="dxa"/>
            <w:vAlign w:val="center"/>
          </w:tcPr>
          <w:p w14:paraId="6C136E07"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1</w:t>
            </w:r>
          </w:p>
        </w:tc>
        <w:tc>
          <w:tcPr>
            <w:tcW w:w="965" w:type="dxa"/>
            <w:vAlign w:val="center"/>
          </w:tcPr>
          <w:p w14:paraId="4070E30D" w14:textId="77777777" w:rsidR="009F762E" w:rsidRPr="00242DFB" w:rsidRDefault="00000000" w:rsidP="005B2285">
            <w:pPr>
              <w:spacing w:line="360" w:lineRule="auto"/>
              <w:jc w:val="center"/>
              <w:rPr>
                <w:rFonts w:ascii="Arial" w:hAnsi="Arial" w:cs="Arial"/>
                <w:color w:val="000000" w:themeColor="text1"/>
                <w:sz w:val="16"/>
                <w:szCs w:val="16"/>
              </w:rPr>
            </w:pPr>
            <w:r w:rsidRPr="00242DFB">
              <w:rPr>
                <w:rFonts w:ascii="Arial" w:eastAsia="Arial" w:hAnsi="Arial" w:cs="Arial"/>
                <w:color w:val="000000" w:themeColor="text1"/>
                <w:kern w:val="2"/>
                <w:sz w:val="16"/>
                <w:szCs w:val="16"/>
              </w:rPr>
              <w:t>33</w:t>
            </w:r>
          </w:p>
        </w:tc>
      </w:tr>
    </w:tbl>
    <w:p w14:paraId="6EBEC016" w14:textId="17A2A9AF" w:rsidR="009F762E" w:rsidRPr="00242DFB" w:rsidRDefault="00000000" w:rsidP="005B2285">
      <w:pPr>
        <w:spacing w:line="360" w:lineRule="auto"/>
        <w:jc w:val="both"/>
        <w:rPr>
          <w:rFonts w:ascii="Arial" w:eastAsia="Arial" w:hAnsi="Arial" w:cs="Arial"/>
          <w:color w:val="000000" w:themeColor="text1"/>
          <w:sz w:val="16"/>
          <w:szCs w:val="16"/>
        </w:rPr>
      </w:pPr>
      <w:r w:rsidRPr="00242DFB">
        <w:rPr>
          <w:rFonts w:ascii="Arial" w:eastAsia="Arial" w:hAnsi="Arial" w:cs="Arial"/>
          <w:color w:val="000000"/>
          <w:sz w:val="16"/>
          <w:szCs w:val="16"/>
        </w:rPr>
        <w:t xml:space="preserve">Fuente: Capital Salud EPS-S Respuesta al requerimiento No. 026-EE-54444 de la Subdirección de Garantía del Aseguramiento, mediante la cual se remite información de medicamentos </w:t>
      </w:r>
      <w:r w:rsidR="00925925">
        <w:rPr>
          <w:rFonts w:ascii="Arial" w:eastAsia="Arial" w:hAnsi="Arial" w:cs="Arial"/>
          <w:color w:val="000000"/>
          <w:sz w:val="16"/>
          <w:szCs w:val="16"/>
        </w:rPr>
        <w:t>sin entrega efectiva</w:t>
      </w:r>
      <w:r w:rsidRPr="00242DFB">
        <w:rPr>
          <w:rFonts w:ascii="Arial" w:eastAsia="Arial" w:hAnsi="Arial" w:cs="Arial"/>
          <w:color w:val="000000"/>
          <w:sz w:val="16"/>
          <w:szCs w:val="16"/>
        </w:rPr>
        <w:t xml:space="preserve"> por cohorte (serie mensual enero–octubre de 2025).</w:t>
      </w:r>
    </w:p>
    <w:p w14:paraId="26DBFB90" w14:textId="77777777" w:rsidR="009F762E" w:rsidRPr="00242DFB" w:rsidRDefault="009F762E" w:rsidP="005B2285">
      <w:pPr>
        <w:spacing w:line="360" w:lineRule="auto"/>
        <w:jc w:val="both"/>
        <w:rPr>
          <w:rFonts w:ascii="Arial" w:eastAsia="Arial" w:hAnsi="Arial" w:cs="Arial"/>
          <w:color w:val="000000" w:themeColor="text1"/>
        </w:rPr>
      </w:pPr>
    </w:p>
    <w:p w14:paraId="604E889F" w14:textId="30143340"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La Tabla </w:t>
      </w:r>
      <w:r w:rsidR="00894C96" w:rsidRPr="00242DFB">
        <w:rPr>
          <w:rFonts w:ascii="Arial" w:eastAsia="Arial" w:hAnsi="Arial" w:cs="Arial"/>
          <w:color w:val="000000"/>
        </w:rPr>
        <w:t xml:space="preserve">21 </w:t>
      </w:r>
      <w:r w:rsidRPr="00242DFB">
        <w:rPr>
          <w:rFonts w:ascii="Arial" w:eastAsia="Arial" w:hAnsi="Arial" w:cs="Arial"/>
          <w:color w:val="000000"/>
        </w:rPr>
        <w:t>permite evidenciar que una proporción importante de los medicamentos pendientes registrados no logró materializarse en una entrega efectiva a la fecha de corte del reporte. Esta situación resulta especialmente relevante, ya que refleja la existencia de requerimientos farmacológicos que continúan sin resolverse y que, por tanto, mantienen vigente el riesgo de interrupción o retraso en los tratamientos prescritos.</w:t>
      </w:r>
    </w:p>
    <w:p w14:paraId="3FDC1647" w14:textId="77777777" w:rsidR="009F762E" w:rsidRPr="00242DFB" w:rsidRDefault="009F762E" w:rsidP="005B2285">
      <w:pPr>
        <w:spacing w:line="360" w:lineRule="auto"/>
        <w:jc w:val="both"/>
        <w:rPr>
          <w:rFonts w:ascii="Arial" w:hAnsi="Arial" w:cs="Arial"/>
          <w:color w:val="000000" w:themeColor="text1"/>
        </w:rPr>
      </w:pPr>
    </w:p>
    <w:p w14:paraId="794F6573"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Se observa que la cohorte de Cáncer concentra 20.195 medicamentos pendientes sin entrega efectiva, equivalente al 56,4 % del total reportado para todas las cohortes priorizadas. Este comportamiento confirma que el principal riesgo de afectación a la continuidad terapéutica se encuentra en esta población, la cual requiere esquemas farmacológicos especializados y sensibles a retrasos en su administración. En consecuencia, cualquier falla persistente en el suministro puede tener repercusiones clínicas significativas.</w:t>
      </w:r>
    </w:p>
    <w:p w14:paraId="75F3EDCD" w14:textId="77777777" w:rsidR="009F762E" w:rsidRPr="00242DFB" w:rsidRDefault="009F762E" w:rsidP="005B2285">
      <w:pPr>
        <w:spacing w:line="360" w:lineRule="auto"/>
        <w:jc w:val="both"/>
        <w:rPr>
          <w:rFonts w:ascii="Arial" w:hAnsi="Arial" w:cs="Arial"/>
          <w:color w:val="000000" w:themeColor="text1"/>
        </w:rPr>
      </w:pPr>
    </w:p>
    <w:p w14:paraId="29F6C996"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De igual forma, las cohortes de Artritis, ERC y VIH acumulan conjuntamente 13.863 medicamentos pendientes sin entrega efectiva, representando cerca del 38,7 % del total. Aunque sus volúmenes son inferiores a los observados en cáncer, se trata de patologías que demandan tratamientos continuos y sostenidos en el tiempo, por lo que la permanencia de pendientes sin resolver puede generar riesgos asociados a </w:t>
      </w:r>
      <w:r w:rsidRPr="00242DFB">
        <w:rPr>
          <w:rFonts w:ascii="Arial" w:eastAsia="Arial" w:hAnsi="Arial" w:cs="Arial"/>
          <w:color w:val="000000"/>
        </w:rPr>
        <w:lastRenderedPageBreak/>
        <w:t>pérdida de adherencia, progresión de la enfermedad, recaídas o necesidad de intervenciones asistenciales de mayor complejidad.</w:t>
      </w:r>
    </w:p>
    <w:p w14:paraId="7BA0398F" w14:textId="77777777" w:rsidR="009F762E" w:rsidRPr="00242DFB" w:rsidRDefault="009F762E" w:rsidP="005B2285">
      <w:pPr>
        <w:spacing w:line="360" w:lineRule="auto"/>
        <w:jc w:val="both"/>
        <w:rPr>
          <w:rFonts w:ascii="Arial" w:eastAsia="Arial" w:hAnsi="Arial" w:cs="Arial"/>
          <w:color w:val="000000" w:themeColor="text1"/>
        </w:rPr>
      </w:pPr>
    </w:p>
    <w:p w14:paraId="4CCD1A62"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Finalmente, la reducción progresiva observada a partir del segundo semestre en la mayoría de las cohortes podría interpretarse como una mejora en la capacidad de respuesta del operador farmacéutico o en la gestión de los pendientes acumulados (especialmente en el mes de octubre). Sin embargo, dado que el descenso se presenta de forma simultánea en todas las cohortes, resulta necesario verificar si este comportamiento corresponde efectivamente a una disminución real de los casos sin entrega, a procesos de depuración de bases de datos o a modificaciones en los criterios utilizados para el reporte de la información.</w:t>
      </w:r>
    </w:p>
    <w:p w14:paraId="64198F32" w14:textId="77777777" w:rsidR="00BC2693" w:rsidRPr="00242DFB" w:rsidRDefault="00BC2693" w:rsidP="005B2285">
      <w:pPr>
        <w:pStyle w:val="Descripcin"/>
        <w:keepNext/>
        <w:spacing w:after="0"/>
        <w:jc w:val="center"/>
        <w:rPr>
          <w:rFonts w:ascii="Arial" w:hAnsi="Arial" w:cs="Arial"/>
          <w:color w:val="000000" w:themeColor="text1"/>
          <w:sz w:val="24"/>
          <w:szCs w:val="24"/>
        </w:rPr>
      </w:pPr>
    </w:p>
    <w:p w14:paraId="16EE75A2" w14:textId="0F6408D4" w:rsidR="00BC2693" w:rsidRPr="00242DFB" w:rsidRDefault="00BC2693" w:rsidP="005B2285">
      <w:pPr>
        <w:pStyle w:val="Descripcin"/>
        <w:keepNext/>
        <w:spacing w:after="0"/>
        <w:jc w:val="center"/>
        <w:rPr>
          <w:rFonts w:ascii="Arial" w:hAnsi="Arial" w:cs="Arial"/>
          <w:color w:val="000000" w:themeColor="text1"/>
          <w:sz w:val="24"/>
          <w:szCs w:val="24"/>
        </w:rPr>
      </w:pPr>
      <w:bookmarkStart w:id="102" w:name="_Toc233574882"/>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22</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Porcentaje de medicamentos pendientes sin entrega efectiva por cohorte priorizada, enero-octubre de 2025</w:t>
      </w:r>
      <w:bookmarkEnd w:id="102"/>
    </w:p>
    <w:p w14:paraId="590C9563" w14:textId="77777777" w:rsidR="006B01C8" w:rsidRDefault="006B01C8" w:rsidP="005B2285">
      <w:pPr>
        <w:spacing w:line="360" w:lineRule="auto"/>
        <w:jc w:val="both"/>
        <w:rPr>
          <w:rFonts w:ascii="Arial" w:eastAsia="Arial" w:hAnsi="Arial" w:cs="Arial"/>
          <w:color w:val="000000"/>
          <w:sz w:val="16"/>
          <w:szCs w:val="16"/>
        </w:rPr>
      </w:pPr>
    </w:p>
    <w:tbl>
      <w:tblPr>
        <w:tblStyle w:val="Tablaconcuadrcula"/>
        <w:tblW w:w="10124" w:type="dxa"/>
        <w:jc w:val="center"/>
        <w:tblLook w:val="04A0" w:firstRow="1" w:lastRow="0" w:firstColumn="1" w:lastColumn="0" w:noHBand="0" w:noVBand="1"/>
      </w:tblPr>
      <w:tblGrid>
        <w:gridCol w:w="1358"/>
        <w:gridCol w:w="676"/>
        <w:gridCol w:w="684"/>
        <w:gridCol w:w="689"/>
        <w:gridCol w:w="659"/>
        <w:gridCol w:w="711"/>
        <w:gridCol w:w="652"/>
        <w:gridCol w:w="616"/>
        <w:gridCol w:w="682"/>
        <w:gridCol w:w="720"/>
        <w:gridCol w:w="652"/>
        <w:gridCol w:w="2025"/>
      </w:tblGrid>
      <w:tr w:rsidR="00297C67" w:rsidRPr="006B01C8" w14:paraId="51622DE3" w14:textId="77777777" w:rsidTr="00297C67">
        <w:trPr>
          <w:trHeight w:val="1406"/>
          <w:jc w:val="center"/>
        </w:trPr>
        <w:tc>
          <w:tcPr>
            <w:tcW w:w="0" w:type="auto"/>
            <w:vAlign w:val="center"/>
            <w:hideMark/>
          </w:tcPr>
          <w:p w14:paraId="4B5F5C17" w14:textId="77777777" w:rsidR="006B01C8" w:rsidRPr="006B01C8" w:rsidRDefault="006B01C8" w:rsidP="005B2285">
            <w:pPr>
              <w:spacing w:line="360" w:lineRule="auto"/>
              <w:jc w:val="center"/>
              <w:rPr>
                <w:rFonts w:ascii="Arial" w:eastAsia="Arial" w:hAnsi="Arial" w:cs="Arial"/>
                <w:b/>
                <w:bCs/>
                <w:color w:val="000000"/>
                <w:sz w:val="16"/>
                <w:szCs w:val="16"/>
              </w:rPr>
            </w:pPr>
            <w:r w:rsidRPr="006B01C8">
              <w:rPr>
                <w:rFonts w:ascii="Arial" w:eastAsia="Arial" w:hAnsi="Arial" w:cs="Arial"/>
                <w:b/>
                <w:bCs/>
                <w:color w:val="000000"/>
                <w:sz w:val="16"/>
                <w:szCs w:val="16"/>
              </w:rPr>
              <w:t>Cohorte</w:t>
            </w:r>
          </w:p>
        </w:tc>
        <w:tc>
          <w:tcPr>
            <w:tcW w:w="0" w:type="auto"/>
            <w:vAlign w:val="center"/>
            <w:hideMark/>
          </w:tcPr>
          <w:p w14:paraId="245CB307" w14:textId="77777777" w:rsidR="006B01C8" w:rsidRPr="006B01C8" w:rsidRDefault="006B01C8" w:rsidP="005B2285">
            <w:pPr>
              <w:spacing w:line="360" w:lineRule="auto"/>
              <w:jc w:val="center"/>
              <w:rPr>
                <w:rFonts w:ascii="Arial" w:eastAsia="Arial" w:hAnsi="Arial" w:cs="Arial"/>
                <w:b/>
                <w:bCs/>
                <w:color w:val="000000"/>
                <w:sz w:val="16"/>
                <w:szCs w:val="16"/>
              </w:rPr>
            </w:pPr>
            <w:r w:rsidRPr="006B01C8">
              <w:rPr>
                <w:rFonts w:ascii="Arial" w:eastAsia="Arial" w:hAnsi="Arial" w:cs="Arial"/>
                <w:b/>
                <w:bCs/>
                <w:color w:val="000000"/>
                <w:sz w:val="16"/>
                <w:szCs w:val="16"/>
              </w:rPr>
              <w:t>ene-25</w:t>
            </w:r>
          </w:p>
        </w:tc>
        <w:tc>
          <w:tcPr>
            <w:tcW w:w="0" w:type="auto"/>
            <w:vAlign w:val="center"/>
            <w:hideMark/>
          </w:tcPr>
          <w:p w14:paraId="134CD0C3" w14:textId="77777777" w:rsidR="006B01C8" w:rsidRPr="006B01C8" w:rsidRDefault="006B01C8" w:rsidP="005B2285">
            <w:pPr>
              <w:spacing w:line="360" w:lineRule="auto"/>
              <w:jc w:val="center"/>
              <w:rPr>
                <w:rFonts w:ascii="Arial" w:eastAsia="Arial" w:hAnsi="Arial" w:cs="Arial"/>
                <w:b/>
                <w:bCs/>
                <w:color w:val="000000"/>
                <w:sz w:val="16"/>
                <w:szCs w:val="16"/>
              </w:rPr>
            </w:pPr>
            <w:r w:rsidRPr="006B01C8">
              <w:rPr>
                <w:rFonts w:ascii="Arial" w:eastAsia="Arial" w:hAnsi="Arial" w:cs="Arial"/>
                <w:b/>
                <w:bCs/>
                <w:color w:val="000000"/>
                <w:sz w:val="16"/>
                <w:szCs w:val="16"/>
              </w:rPr>
              <w:t>feb-25</w:t>
            </w:r>
          </w:p>
        </w:tc>
        <w:tc>
          <w:tcPr>
            <w:tcW w:w="0" w:type="auto"/>
            <w:vAlign w:val="center"/>
            <w:hideMark/>
          </w:tcPr>
          <w:p w14:paraId="04F18BAE" w14:textId="77777777" w:rsidR="006B01C8" w:rsidRPr="006B01C8" w:rsidRDefault="006B01C8" w:rsidP="005B2285">
            <w:pPr>
              <w:spacing w:line="360" w:lineRule="auto"/>
              <w:jc w:val="center"/>
              <w:rPr>
                <w:rFonts w:ascii="Arial" w:eastAsia="Arial" w:hAnsi="Arial" w:cs="Arial"/>
                <w:b/>
                <w:bCs/>
                <w:color w:val="000000"/>
                <w:sz w:val="16"/>
                <w:szCs w:val="16"/>
              </w:rPr>
            </w:pPr>
            <w:r w:rsidRPr="006B01C8">
              <w:rPr>
                <w:rFonts w:ascii="Arial" w:eastAsia="Arial" w:hAnsi="Arial" w:cs="Arial"/>
                <w:b/>
                <w:bCs/>
                <w:color w:val="000000"/>
                <w:sz w:val="16"/>
                <w:szCs w:val="16"/>
              </w:rPr>
              <w:t>mar-25</w:t>
            </w:r>
          </w:p>
        </w:tc>
        <w:tc>
          <w:tcPr>
            <w:tcW w:w="0" w:type="auto"/>
            <w:vAlign w:val="center"/>
            <w:hideMark/>
          </w:tcPr>
          <w:p w14:paraId="41884696" w14:textId="77777777" w:rsidR="006B01C8" w:rsidRPr="006B01C8" w:rsidRDefault="006B01C8" w:rsidP="005B2285">
            <w:pPr>
              <w:spacing w:line="360" w:lineRule="auto"/>
              <w:jc w:val="center"/>
              <w:rPr>
                <w:rFonts w:ascii="Arial" w:eastAsia="Arial" w:hAnsi="Arial" w:cs="Arial"/>
                <w:b/>
                <w:bCs/>
                <w:color w:val="000000"/>
                <w:sz w:val="16"/>
                <w:szCs w:val="16"/>
              </w:rPr>
            </w:pPr>
            <w:r w:rsidRPr="006B01C8">
              <w:rPr>
                <w:rFonts w:ascii="Arial" w:eastAsia="Arial" w:hAnsi="Arial" w:cs="Arial"/>
                <w:b/>
                <w:bCs/>
                <w:color w:val="000000"/>
                <w:sz w:val="16"/>
                <w:szCs w:val="16"/>
              </w:rPr>
              <w:t>abr-25</w:t>
            </w:r>
          </w:p>
        </w:tc>
        <w:tc>
          <w:tcPr>
            <w:tcW w:w="0" w:type="auto"/>
            <w:vAlign w:val="center"/>
            <w:hideMark/>
          </w:tcPr>
          <w:p w14:paraId="2408C10F" w14:textId="77777777" w:rsidR="006B01C8" w:rsidRPr="006B01C8" w:rsidRDefault="006B01C8" w:rsidP="005B2285">
            <w:pPr>
              <w:spacing w:line="360" w:lineRule="auto"/>
              <w:jc w:val="center"/>
              <w:rPr>
                <w:rFonts w:ascii="Arial" w:eastAsia="Arial" w:hAnsi="Arial" w:cs="Arial"/>
                <w:b/>
                <w:bCs/>
                <w:color w:val="000000"/>
                <w:sz w:val="16"/>
                <w:szCs w:val="16"/>
              </w:rPr>
            </w:pPr>
            <w:r w:rsidRPr="006B01C8">
              <w:rPr>
                <w:rFonts w:ascii="Arial" w:eastAsia="Arial" w:hAnsi="Arial" w:cs="Arial"/>
                <w:b/>
                <w:bCs/>
                <w:color w:val="000000"/>
                <w:sz w:val="16"/>
                <w:szCs w:val="16"/>
              </w:rPr>
              <w:t>may-25</w:t>
            </w:r>
          </w:p>
        </w:tc>
        <w:tc>
          <w:tcPr>
            <w:tcW w:w="0" w:type="auto"/>
            <w:vAlign w:val="center"/>
            <w:hideMark/>
          </w:tcPr>
          <w:p w14:paraId="7EE32ABF" w14:textId="77777777" w:rsidR="006B01C8" w:rsidRPr="006B01C8" w:rsidRDefault="006B01C8" w:rsidP="005B2285">
            <w:pPr>
              <w:spacing w:line="360" w:lineRule="auto"/>
              <w:jc w:val="center"/>
              <w:rPr>
                <w:rFonts w:ascii="Arial" w:eastAsia="Arial" w:hAnsi="Arial" w:cs="Arial"/>
                <w:b/>
                <w:bCs/>
                <w:color w:val="000000"/>
                <w:sz w:val="16"/>
                <w:szCs w:val="16"/>
              </w:rPr>
            </w:pPr>
            <w:r w:rsidRPr="006B01C8">
              <w:rPr>
                <w:rFonts w:ascii="Arial" w:eastAsia="Arial" w:hAnsi="Arial" w:cs="Arial"/>
                <w:b/>
                <w:bCs/>
                <w:color w:val="000000"/>
                <w:sz w:val="16"/>
                <w:szCs w:val="16"/>
              </w:rPr>
              <w:t>jun-25</w:t>
            </w:r>
          </w:p>
        </w:tc>
        <w:tc>
          <w:tcPr>
            <w:tcW w:w="0" w:type="auto"/>
            <w:vAlign w:val="center"/>
            <w:hideMark/>
          </w:tcPr>
          <w:p w14:paraId="6BEBDA78" w14:textId="77777777" w:rsidR="006B01C8" w:rsidRPr="006B01C8" w:rsidRDefault="006B01C8" w:rsidP="005B2285">
            <w:pPr>
              <w:spacing w:line="360" w:lineRule="auto"/>
              <w:jc w:val="center"/>
              <w:rPr>
                <w:rFonts w:ascii="Arial" w:eastAsia="Arial" w:hAnsi="Arial" w:cs="Arial"/>
                <w:b/>
                <w:bCs/>
                <w:color w:val="000000"/>
                <w:sz w:val="16"/>
                <w:szCs w:val="16"/>
              </w:rPr>
            </w:pPr>
            <w:r w:rsidRPr="006B01C8">
              <w:rPr>
                <w:rFonts w:ascii="Arial" w:eastAsia="Arial" w:hAnsi="Arial" w:cs="Arial"/>
                <w:b/>
                <w:bCs/>
                <w:color w:val="000000"/>
                <w:sz w:val="16"/>
                <w:szCs w:val="16"/>
              </w:rPr>
              <w:t>jul-25</w:t>
            </w:r>
          </w:p>
        </w:tc>
        <w:tc>
          <w:tcPr>
            <w:tcW w:w="0" w:type="auto"/>
            <w:vAlign w:val="center"/>
            <w:hideMark/>
          </w:tcPr>
          <w:p w14:paraId="52291BD0" w14:textId="77777777" w:rsidR="006B01C8" w:rsidRPr="006B01C8" w:rsidRDefault="006B01C8" w:rsidP="005B2285">
            <w:pPr>
              <w:spacing w:line="360" w:lineRule="auto"/>
              <w:jc w:val="center"/>
              <w:rPr>
                <w:rFonts w:ascii="Arial" w:eastAsia="Arial" w:hAnsi="Arial" w:cs="Arial"/>
                <w:b/>
                <w:bCs/>
                <w:color w:val="000000"/>
                <w:sz w:val="16"/>
                <w:szCs w:val="16"/>
              </w:rPr>
            </w:pPr>
            <w:r w:rsidRPr="006B01C8">
              <w:rPr>
                <w:rFonts w:ascii="Arial" w:eastAsia="Arial" w:hAnsi="Arial" w:cs="Arial"/>
                <w:b/>
                <w:bCs/>
                <w:color w:val="000000"/>
                <w:sz w:val="16"/>
                <w:szCs w:val="16"/>
              </w:rPr>
              <w:t>ago-25</w:t>
            </w:r>
          </w:p>
        </w:tc>
        <w:tc>
          <w:tcPr>
            <w:tcW w:w="0" w:type="auto"/>
            <w:vAlign w:val="center"/>
            <w:hideMark/>
          </w:tcPr>
          <w:p w14:paraId="0E1CDBE6" w14:textId="77777777" w:rsidR="006B01C8" w:rsidRPr="006B01C8" w:rsidRDefault="006B01C8" w:rsidP="005B2285">
            <w:pPr>
              <w:spacing w:line="360" w:lineRule="auto"/>
              <w:jc w:val="center"/>
              <w:rPr>
                <w:rFonts w:ascii="Arial" w:eastAsia="Arial" w:hAnsi="Arial" w:cs="Arial"/>
                <w:b/>
                <w:bCs/>
                <w:color w:val="000000"/>
                <w:sz w:val="16"/>
                <w:szCs w:val="16"/>
              </w:rPr>
            </w:pPr>
            <w:r w:rsidRPr="006B01C8">
              <w:rPr>
                <w:rFonts w:ascii="Arial" w:eastAsia="Arial" w:hAnsi="Arial" w:cs="Arial"/>
                <w:b/>
                <w:bCs/>
                <w:color w:val="000000"/>
                <w:sz w:val="16"/>
                <w:szCs w:val="16"/>
              </w:rPr>
              <w:t>sept-25</w:t>
            </w:r>
          </w:p>
        </w:tc>
        <w:tc>
          <w:tcPr>
            <w:tcW w:w="0" w:type="auto"/>
            <w:vAlign w:val="center"/>
            <w:hideMark/>
          </w:tcPr>
          <w:p w14:paraId="042CB829" w14:textId="77777777" w:rsidR="006B01C8" w:rsidRPr="006B01C8" w:rsidRDefault="006B01C8" w:rsidP="005B2285">
            <w:pPr>
              <w:spacing w:line="360" w:lineRule="auto"/>
              <w:jc w:val="center"/>
              <w:rPr>
                <w:rFonts w:ascii="Arial" w:eastAsia="Arial" w:hAnsi="Arial" w:cs="Arial"/>
                <w:b/>
                <w:bCs/>
                <w:color w:val="000000"/>
                <w:sz w:val="16"/>
                <w:szCs w:val="16"/>
              </w:rPr>
            </w:pPr>
            <w:r w:rsidRPr="006B01C8">
              <w:rPr>
                <w:rFonts w:ascii="Arial" w:eastAsia="Arial" w:hAnsi="Arial" w:cs="Arial"/>
                <w:b/>
                <w:bCs/>
                <w:color w:val="000000"/>
                <w:sz w:val="16"/>
                <w:szCs w:val="16"/>
              </w:rPr>
              <w:t>oct-25</w:t>
            </w:r>
          </w:p>
        </w:tc>
        <w:tc>
          <w:tcPr>
            <w:tcW w:w="0" w:type="auto"/>
            <w:vAlign w:val="center"/>
            <w:hideMark/>
          </w:tcPr>
          <w:p w14:paraId="42A1B9D0" w14:textId="4D9FB609" w:rsidR="006B01C8" w:rsidRPr="006B01C8" w:rsidRDefault="006B01C8" w:rsidP="005B2285">
            <w:pPr>
              <w:spacing w:line="360" w:lineRule="auto"/>
              <w:jc w:val="center"/>
              <w:rPr>
                <w:rFonts w:ascii="Arial" w:eastAsia="Arial" w:hAnsi="Arial" w:cs="Arial"/>
                <w:b/>
                <w:bCs/>
                <w:color w:val="000000"/>
                <w:sz w:val="16"/>
                <w:szCs w:val="16"/>
              </w:rPr>
            </w:pPr>
            <w:r w:rsidRPr="006B01C8">
              <w:rPr>
                <w:rFonts w:ascii="Arial" w:eastAsia="Arial" w:hAnsi="Arial" w:cs="Arial"/>
                <w:b/>
                <w:bCs/>
                <w:color w:val="000000"/>
                <w:sz w:val="16"/>
                <w:szCs w:val="16"/>
              </w:rPr>
              <w:t>% acumulado enero-octubre</w:t>
            </w:r>
            <w:r w:rsidRPr="00297C67">
              <w:rPr>
                <w:rStyle w:val="Refdenotaalpie"/>
                <w:rFonts w:ascii="Arial" w:eastAsia="Arial" w:hAnsi="Arial" w:cs="Arial"/>
                <w:b/>
                <w:bCs/>
                <w:color w:val="000000"/>
                <w:sz w:val="16"/>
                <w:szCs w:val="16"/>
              </w:rPr>
              <w:footnoteReference w:id="12"/>
            </w:r>
          </w:p>
        </w:tc>
      </w:tr>
      <w:tr w:rsidR="00297C67" w:rsidRPr="006B01C8" w14:paraId="7796B673" w14:textId="77777777" w:rsidTr="00297C67">
        <w:trPr>
          <w:trHeight w:val="354"/>
          <w:jc w:val="center"/>
        </w:trPr>
        <w:tc>
          <w:tcPr>
            <w:tcW w:w="0" w:type="auto"/>
            <w:vAlign w:val="center"/>
            <w:hideMark/>
          </w:tcPr>
          <w:p w14:paraId="3E8748B0"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Hepatitis C</w:t>
            </w:r>
          </w:p>
        </w:tc>
        <w:tc>
          <w:tcPr>
            <w:tcW w:w="0" w:type="auto"/>
            <w:vAlign w:val="center"/>
            <w:hideMark/>
          </w:tcPr>
          <w:p w14:paraId="66FC5F01"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84%</w:t>
            </w:r>
          </w:p>
        </w:tc>
        <w:tc>
          <w:tcPr>
            <w:tcW w:w="0" w:type="auto"/>
            <w:vAlign w:val="center"/>
            <w:hideMark/>
          </w:tcPr>
          <w:p w14:paraId="7AD585BF"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78%</w:t>
            </w:r>
          </w:p>
        </w:tc>
        <w:tc>
          <w:tcPr>
            <w:tcW w:w="0" w:type="auto"/>
            <w:vAlign w:val="center"/>
            <w:hideMark/>
          </w:tcPr>
          <w:p w14:paraId="6C78EF2A"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44%</w:t>
            </w:r>
          </w:p>
        </w:tc>
        <w:tc>
          <w:tcPr>
            <w:tcW w:w="0" w:type="auto"/>
            <w:vAlign w:val="center"/>
            <w:hideMark/>
          </w:tcPr>
          <w:p w14:paraId="767C04FB"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64%</w:t>
            </w:r>
          </w:p>
        </w:tc>
        <w:tc>
          <w:tcPr>
            <w:tcW w:w="0" w:type="auto"/>
            <w:vAlign w:val="center"/>
            <w:hideMark/>
          </w:tcPr>
          <w:p w14:paraId="0ED81297"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66%</w:t>
            </w:r>
          </w:p>
        </w:tc>
        <w:tc>
          <w:tcPr>
            <w:tcW w:w="0" w:type="auto"/>
            <w:vAlign w:val="center"/>
            <w:hideMark/>
          </w:tcPr>
          <w:p w14:paraId="124DD2A5"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79%</w:t>
            </w:r>
          </w:p>
        </w:tc>
        <w:tc>
          <w:tcPr>
            <w:tcW w:w="0" w:type="auto"/>
            <w:vAlign w:val="center"/>
            <w:hideMark/>
          </w:tcPr>
          <w:p w14:paraId="4E96C8BA"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20%</w:t>
            </w:r>
          </w:p>
        </w:tc>
        <w:tc>
          <w:tcPr>
            <w:tcW w:w="0" w:type="auto"/>
            <w:vAlign w:val="center"/>
            <w:hideMark/>
          </w:tcPr>
          <w:p w14:paraId="099F57AC"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33%</w:t>
            </w:r>
          </w:p>
        </w:tc>
        <w:tc>
          <w:tcPr>
            <w:tcW w:w="0" w:type="auto"/>
            <w:vAlign w:val="center"/>
            <w:hideMark/>
          </w:tcPr>
          <w:p w14:paraId="40F31BA1"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30%</w:t>
            </w:r>
          </w:p>
        </w:tc>
        <w:tc>
          <w:tcPr>
            <w:tcW w:w="0" w:type="auto"/>
            <w:vAlign w:val="center"/>
            <w:hideMark/>
          </w:tcPr>
          <w:p w14:paraId="4977C787"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10%</w:t>
            </w:r>
          </w:p>
        </w:tc>
        <w:tc>
          <w:tcPr>
            <w:tcW w:w="0" w:type="auto"/>
            <w:vAlign w:val="center"/>
            <w:hideMark/>
          </w:tcPr>
          <w:p w14:paraId="132E704B" w14:textId="77777777" w:rsidR="006B01C8" w:rsidRPr="006B01C8" w:rsidRDefault="006B01C8" w:rsidP="005B2285">
            <w:pPr>
              <w:spacing w:line="360" w:lineRule="auto"/>
              <w:jc w:val="center"/>
              <w:rPr>
                <w:rFonts w:ascii="Arial" w:eastAsia="Arial" w:hAnsi="Arial" w:cs="Arial"/>
                <w:color w:val="000000"/>
                <w:sz w:val="18"/>
                <w:szCs w:val="18"/>
              </w:rPr>
            </w:pPr>
            <w:r w:rsidRPr="006B01C8">
              <w:rPr>
                <w:rFonts w:ascii="Arial" w:eastAsia="Arial" w:hAnsi="Arial" w:cs="Arial"/>
                <w:color w:val="000000"/>
                <w:sz w:val="18"/>
                <w:szCs w:val="18"/>
              </w:rPr>
              <w:t>52,3%</w:t>
            </w:r>
          </w:p>
        </w:tc>
      </w:tr>
      <w:tr w:rsidR="00297C67" w:rsidRPr="006B01C8" w14:paraId="0468DE29" w14:textId="77777777" w:rsidTr="00297C67">
        <w:trPr>
          <w:trHeight w:val="354"/>
          <w:jc w:val="center"/>
        </w:trPr>
        <w:tc>
          <w:tcPr>
            <w:tcW w:w="0" w:type="auto"/>
            <w:vAlign w:val="center"/>
            <w:hideMark/>
          </w:tcPr>
          <w:p w14:paraId="6BE2455F"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Hemofilia</w:t>
            </w:r>
          </w:p>
        </w:tc>
        <w:tc>
          <w:tcPr>
            <w:tcW w:w="0" w:type="auto"/>
            <w:vAlign w:val="center"/>
            <w:hideMark/>
          </w:tcPr>
          <w:p w14:paraId="628C476B"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86%</w:t>
            </w:r>
          </w:p>
        </w:tc>
        <w:tc>
          <w:tcPr>
            <w:tcW w:w="0" w:type="auto"/>
            <w:vAlign w:val="center"/>
            <w:hideMark/>
          </w:tcPr>
          <w:p w14:paraId="3A9CC217"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100%</w:t>
            </w:r>
          </w:p>
        </w:tc>
        <w:tc>
          <w:tcPr>
            <w:tcW w:w="0" w:type="auto"/>
            <w:vAlign w:val="center"/>
            <w:hideMark/>
          </w:tcPr>
          <w:p w14:paraId="2ACECD9D"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25%</w:t>
            </w:r>
          </w:p>
        </w:tc>
        <w:tc>
          <w:tcPr>
            <w:tcW w:w="0" w:type="auto"/>
            <w:vAlign w:val="center"/>
            <w:hideMark/>
          </w:tcPr>
          <w:p w14:paraId="5AB2D108"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67%</w:t>
            </w:r>
          </w:p>
        </w:tc>
        <w:tc>
          <w:tcPr>
            <w:tcW w:w="0" w:type="auto"/>
            <w:vAlign w:val="center"/>
            <w:hideMark/>
          </w:tcPr>
          <w:p w14:paraId="190A074F"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46%</w:t>
            </w:r>
          </w:p>
        </w:tc>
        <w:tc>
          <w:tcPr>
            <w:tcW w:w="0" w:type="auto"/>
            <w:vAlign w:val="center"/>
            <w:hideMark/>
          </w:tcPr>
          <w:p w14:paraId="30C72EA7"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0%</w:t>
            </w:r>
          </w:p>
        </w:tc>
        <w:tc>
          <w:tcPr>
            <w:tcW w:w="0" w:type="auto"/>
            <w:vAlign w:val="center"/>
            <w:hideMark/>
          </w:tcPr>
          <w:p w14:paraId="6455850C"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83%</w:t>
            </w:r>
          </w:p>
        </w:tc>
        <w:tc>
          <w:tcPr>
            <w:tcW w:w="0" w:type="auto"/>
            <w:vAlign w:val="center"/>
            <w:hideMark/>
          </w:tcPr>
          <w:p w14:paraId="3FDE0908"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33%</w:t>
            </w:r>
          </w:p>
        </w:tc>
        <w:tc>
          <w:tcPr>
            <w:tcW w:w="0" w:type="auto"/>
            <w:vAlign w:val="center"/>
            <w:hideMark/>
          </w:tcPr>
          <w:p w14:paraId="440D526B"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43%</w:t>
            </w:r>
          </w:p>
        </w:tc>
        <w:tc>
          <w:tcPr>
            <w:tcW w:w="0" w:type="auto"/>
            <w:vAlign w:val="center"/>
            <w:hideMark/>
          </w:tcPr>
          <w:p w14:paraId="4E1FBCE5"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25%</w:t>
            </w:r>
          </w:p>
        </w:tc>
        <w:tc>
          <w:tcPr>
            <w:tcW w:w="0" w:type="auto"/>
            <w:vAlign w:val="center"/>
            <w:hideMark/>
          </w:tcPr>
          <w:p w14:paraId="329E77DB" w14:textId="77777777" w:rsidR="006B01C8" w:rsidRPr="006B01C8" w:rsidRDefault="006B01C8" w:rsidP="005B2285">
            <w:pPr>
              <w:spacing w:line="360" w:lineRule="auto"/>
              <w:jc w:val="center"/>
              <w:rPr>
                <w:rFonts w:ascii="Arial" w:eastAsia="Arial" w:hAnsi="Arial" w:cs="Arial"/>
                <w:color w:val="000000"/>
                <w:sz w:val="18"/>
                <w:szCs w:val="18"/>
              </w:rPr>
            </w:pPr>
            <w:r w:rsidRPr="006B01C8">
              <w:rPr>
                <w:rFonts w:ascii="Arial" w:eastAsia="Arial" w:hAnsi="Arial" w:cs="Arial"/>
                <w:color w:val="000000"/>
                <w:sz w:val="18"/>
                <w:szCs w:val="18"/>
              </w:rPr>
              <w:t>54,1%</w:t>
            </w:r>
          </w:p>
        </w:tc>
      </w:tr>
      <w:tr w:rsidR="00297C67" w:rsidRPr="006B01C8" w14:paraId="60338036" w14:textId="77777777" w:rsidTr="00297C67">
        <w:trPr>
          <w:trHeight w:val="340"/>
          <w:jc w:val="center"/>
        </w:trPr>
        <w:tc>
          <w:tcPr>
            <w:tcW w:w="0" w:type="auto"/>
            <w:vAlign w:val="center"/>
            <w:hideMark/>
          </w:tcPr>
          <w:p w14:paraId="461F76F4"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ERC</w:t>
            </w:r>
          </w:p>
        </w:tc>
        <w:tc>
          <w:tcPr>
            <w:tcW w:w="0" w:type="auto"/>
            <w:vAlign w:val="center"/>
            <w:hideMark/>
          </w:tcPr>
          <w:p w14:paraId="402340FD"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61%</w:t>
            </w:r>
          </w:p>
        </w:tc>
        <w:tc>
          <w:tcPr>
            <w:tcW w:w="0" w:type="auto"/>
            <w:vAlign w:val="center"/>
            <w:hideMark/>
          </w:tcPr>
          <w:p w14:paraId="2380F54A"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73%</w:t>
            </w:r>
          </w:p>
        </w:tc>
        <w:tc>
          <w:tcPr>
            <w:tcW w:w="0" w:type="auto"/>
            <w:vAlign w:val="center"/>
            <w:hideMark/>
          </w:tcPr>
          <w:p w14:paraId="254EE762"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66%</w:t>
            </w:r>
          </w:p>
        </w:tc>
        <w:tc>
          <w:tcPr>
            <w:tcW w:w="0" w:type="auto"/>
            <w:vAlign w:val="center"/>
            <w:hideMark/>
          </w:tcPr>
          <w:p w14:paraId="5F0F69B9"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66%</w:t>
            </w:r>
          </w:p>
        </w:tc>
        <w:tc>
          <w:tcPr>
            <w:tcW w:w="0" w:type="auto"/>
            <w:vAlign w:val="center"/>
            <w:hideMark/>
          </w:tcPr>
          <w:p w14:paraId="6D57D737"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54%</w:t>
            </w:r>
          </w:p>
        </w:tc>
        <w:tc>
          <w:tcPr>
            <w:tcW w:w="0" w:type="auto"/>
            <w:vAlign w:val="center"/>
            <w:hideMark/>
          </w:tcPr>
          <w:p w14:paraId="5DE8403B"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53%</w:t>
            </w:r>
          </w:p>
        </w:tc>
        <w:tc>
          <w:tcPr>
            <w:tcW w:w="0" w:type="auto"/>
            <w:vAlign w:val="center"/>
            <w:hideMark/>
          </w:tcPr>
          <w:p w14:paraId="31F4FCF6"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47%</w:t>
            </w:r>
          </w:p>
        </w:tc>
        <w:tc>
          <w:tcPr>
            <w:tcW w:w="0" w:type="auto"/>
            <w:vAlign w:val="center"/>
            <w:hideMark/>
          </w:tcPr>
          <w:p w14:paraId="1E9947EE"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31%</w:t>
            </w:r>
          </w:p>
        </w:tc>
        <w:tc>
          <w:tcPr>
            <w:tcW w:w="0" w:type="auto"/>
            <w:vAlign w:val="center"/>
            <w:hideMark/>
          </w:tcPr>
          <w:p w14:paraId="796931C6"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28%</w:t>
            </w:r>
          </w:p>
        </w:tc>
        <w:tc>
          <w:tcPr>
            <w:tcW w:w="0" w:type="auto"/>
            <w:vAlign w:val="center"/>
            <w:hideMark/>
          </w:tcPr>
          <w:p w14:paraId="53A78199"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27%</w:t>
            </w:r>
          </w:p>
        </w:tc>
        <w:tc>
          <w:tcPr>
            <w:tcW w:w="0" w:type="auto"/>
            <w:vAlign w:val="center"/>
            <w:hideMark/>
          </w:tcPr>
          <w:p w14:paraId="5C23B068" w14:textId="77777777" w:rsidR="006B01C8" w:rsidRPr="006B01C8" w:rsidRDefault="006B01C8" w:rsidP="005B2285">
            <w:pPr>
              <w:spacing w:line="360" w:lineRule="auto"/>
              <w:jc w:val="center"/>
              <w:rPr>
                <w:rFonts w:ascii="Arial" w:eastAsia="Arial" w:hAnsi="Arial" w:cs="Arial"/>
                <w:color w:val="000000"/>
                <w:sz w:val="18"/>
                <w:szCs w:val="18"/>
              </w:rPr>
            </w:pPr>
            <w:r w:rsidRPr="006B01C8">
              <w:rPr>
                <w:rFonts w:ascii="Arial" w:eastAsia="Arial" w:hAnsi="Arial" w:cs="Arial"/>
                <w:color w:val="000000"/>
                <w:sz w:val="18"/>
                <w:szCs w:val="18"/>
              </w:rPr>
              <w:t>53,6%</w:t>
            </w:r>
          </w:p>
        </w:tc>
      </w:tr>
      <w:tr w:rsidR="00297C67" w:rsidRPr="006B01C8" w14:paraId="1C60203A" w14:textId="77777777" w:rsidTr="00297C67">
        <w:trPr>
          <w:trHeight w:val="354"/>
          <w:jc w:val="center"/>
        </w:trPr>
        <w:tc>
          <w:tcPr>
            <w:tcW w:w="0" w:type="auto"/>
            <w:vAlign w:val="center"/>
            <w:hideMark/>
          </w:tcPr>
          <w:p w14:paraId="32CA902E"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VIH</w:t>
            </w:r>
          </w:p>
        </w:tc>
        <w:tc>
          <w:tcPr>
            <w:tcW w:w="0" w:type="auto"/>
            <w:vAlign w:val="center"/>
            <w:hideMark/>
          </w:tcPr>
          <w:p w14:paraId="2009F228"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64%</w:t>
            </w:r>
          </w:p>
        </w:tc>
        <w:tc>
          <w:tcPr>
            <w:tcW w:w="0" w:type="auto"/>
            <w:vAlign w:val="center"/>
            <w:hideMark/>
          </w:tcPr>
          <w:p w14:paraId="389B99E9"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71%</w:t>
            </w:r>
          </w:p>
        </w:tc>
        <w:tc>
          <w:tcPr>
            <w:tcW w:w="0" w:type="auto"/>
            <w:vAlign w:val="center"/>
            <w:hideMark/>
          </w:tcPr>
          <w:p w14:paraId="446C4E05"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64%</w:t>
            </w:r>
          </w:p>
        </w:tc>
        <w:tc>
          <w:tcPr>
            <w:tcW w:w="0" w:type="auto"/>
            <w:vAlign w:val="center"/>
            <w:hideMark/>
          </w:tcPr>
          <w:p w14:paraId="09F9EF82"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64%</w:t>
            </w:r>
          </w:p>
        </w:tc>
        <w:tc>
          <w:tcPr>
            <w:tcW w:w="0" w:type="auto"/>
            <w:vAlign w:val="center"/>
            <w:hideMark/>
          </w:tcPr>
          <w:p w14:paraId="546611F6"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53%</w:t>
            </w:r>
          </w:p>
        </w:tc>
        <w:tc>
          <w:tcPr>
            <w:tcW w:w="0" w:type="auto"/>
            <w:vAlign w:val="center"/>
            <w:hideMark/>
          </w:tcPr>
          <w:p w14:paraId="6ACBEBFF"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44%</w:t>
            </w:r>
          </w:p>
        </w:tc>
        <w:tc>
          <w:tcPr>
            <w:tcW w:w="0" w:type="auto"/>
            <w:vAlign w:val="center"/>
            <w:hideMark/>
          </w:tcPr>
          <w:p w14:paraId="2C29897A"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40%</w:t>
            </w:r>
          </w:p>
        </w:tc>
        <w:tc>
          <w:tcPr>
            <w:tcW w:w="0" w:type="auto"/>
            <w:vAlign w:val="center"/>
            <w:hideMark/>
          </w:tcPr>
          <w:p w14:paraId="508BE044"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38%</w:t>
            </w:r>
          </w:p>
        </w:tc>
        <w:tc>
          <w:tcPr>
            <w:tcW w:w="0" w:type="auto"/>
            <w:vAlign w:val="center"/>
            <w:hideMark/>
          </w:tcPr>
          <w:p w14:paraId="21276D77"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27%</w:t>
            </w:r>
          </w:p>
        </w:tc>
        <w:tc>
          <w:tcPr>
            <w:tcW w:w="0" w:type="auto"/>
            <w:vAlign w:val="center"/>
            <w:hideMark/>
          </w:tcPr>
          <w:p w14:paraId="009F4321"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22%</w:t>
            </w:r>
          </w:p>
        </w:tc>
        <w:tc>
          <w:tcPr>
            <w:tcW w:w="0" w:type="auto"/>
            <w:vAlign w:val="center"/>
            <w:hideMark/>
          </w:tcPr>
          <w:p w14:paraId="78DEF4BE" w14:textId="77777777" w:rsidR="006B01C8" w:rsidRPr="006B01C8" w:rsidRDefault="006B01C8" w:rsidP="005B2285">
            <w:pPr>
              <w:spacing w:line="360" w:lineRule="auto"/>
              <w:jc w:val="center"/>
              <w:rPr>
                <w:rFonts w:ascii="Arial" w:eastAsia="Arial" w:hAnsi="Arial" w:cs="Arial"/>
                <w:color w:val="000000"/>
                <w:sz w:val="18"/>
                <w:szCs w:val="18"/>
              </w:rPr>
            </w:pPr>
            <w:r w:rsidRPr="006B01C8">
              <w:rPr>
                <w:rFonts w:ascii="Arial" w:eastAsia="Arial" w:hAnsi="Arial" w:cs="Arial"/>
                <w:color w:val="000000"/>
                <w:sz w:val="18"/>
                <w:szCs w:val="18"/>
              </w:rPr>
              <w:t>51,8%</w:t>
            </w:r>
          </w:p>
        </w:tc>
      </w:tr>
      <w:tr w:rsidR="00297C67" w:rsidRPr="006B01C8" w14:paraId="14BC4FEF" w14:textId="77777777" w:rsidTr="00297C67">
        <w:trPr>
          <w:trHeight w:val="354"/>
          <w:jc w:val="center"/>
        </w:trPr>
        <w:tc>
          <w:tcPr>
            <w:tcW w:w="0" w:type="auto"/>
            <w:vAlign w:val="center"/>
            <w:hideMark/>
          </w:tcPr>
          <w:p w14:paraId="2EC1122F"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Artritis</w:t>
            </w:r>
          </w:p>
        </w:tc>
        <w:tc>
          <w:tcPr>
            <w:tcW w:w="0" w:type="auto"/>
            <w:vAlign w:val="center"/>
            <w:hideMark/>
          </w:tcPr>
          <w:p w14:paraId="3FE368FF"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60%</w:t>
            </w:r>
          </w:p>
        </w:tc>
        <w:tc>
          <w:tcPr>
            <w:tcW w:w="0" w:type="auto"/>
            <w:vAlign w:val="center"/>
            <w:hideMark/>
          </w:tcPr>
          <w:p w14:paraId="123FC2E6"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72%</w:t>
            </w:r>
          </w:p>
        </w:tc>
        <w:tc>
          <w:tcPr>
            <w:tcW w:w="0" w:type="auto"/>
            <w:vAlign w:val="center"/>
            <w:hideMark/>
          </w:tcPr>
          <w:p w14:paraId="3324B73D"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62%</w:t>
            </w:r>
          </w:p>
        </w:tc>
        <w:tc>
          <w:tcPr>
            <w:tcW w:w="0" w:type="auto"/>
            <w:vAlign w:val="center"/>
            <w:hideMark/>
          </w:tcPr>
          <w:p w14:paraId="22967627"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60%</w:t>
            </w:r>
          </w:p>
        </w:tc>
        <w:tc>
          <w:tcPr>
            <w:tcW w:w="0" w:type="auto"/>
            <w:vAlign w:val="center"/>
            <w:hideMark/>
          </w:tcPr>
          <w:p w14:paraId="013F8B97"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52%</w:t>
            </w:r>
          </w:p>
        </w:tc>
        <w:tc>
          <w:tcPr>
            <w:tcW w:w="0" w:type="auto"/>
            <w:vAlign w:val="center"/>
            <w:hideMark/>
          </w:tcPr>
          <w:p w14:paraId="7DDAD606"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49%</w:t>
            </w:r>
          </w:p>
        </w:tc>
        <w:tc>
          <w:tcPr>
            <w:tcW w:w="0" w:type="auto"/>
            <w:vAlign w:val="center"/>
            <w:hideMark/>
          </w:tcPr>
          <w:p w14:paraId="4F51B0E5"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41%</w:t>
            </w:r>
          </w:p>
        </w:tc>
        <w:tc>
          <w:tcPr>
            <w:tcW w:w="0" w:type="auto"/>
            <w:vAlign w:val="center"/>
            <w:hideMark/>
          </w:tcPr>
          <w:p w14:paraId="0BFC2B38"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33%</w:t>
            </w:r>
          </w:p>
        </w:tc>
        <w:tc>
          <w:tcPr>
            <w:tcW w:w="0" w:type="auto"/>
            <w:vAlign w:val="center"/>
            <w:hideMark/>
          </w:tcPr>
          <w:p w14:paraId="6412B7A4"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25%</w:t>
            </w:r>
          </w:p>
        </w:tc>
        <w:tc>
          <w:tcPr>
            <w:tcW w:w="0" w:type="auto"/>
            <w:vAlign w:val="center"/>
            <w:hideMark/>
          </w:tcPr>
          <w:p w14:paraId="3D1C068A"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25%</w:t>
            </w:r>
          </w:p>
        </w:tc>
        <w:tc>
          <w:tcPr>
            <w:tcW w:w="0" w:type="auto"/>
            <w:vAlign w:val="center"/>
            <w:hideMark/>
          </w:tcPr>
          <w:p w14:paraId="7733AE8D" w14:textId="77777777" w:rsidR="006B01C8" w:rsidRPr="006B01C8" w:rsidRDefault="006B01C8" w:rsidP="005B2285">
            <w:pPr>
              <w:spacing w:line="360" w:lineRule="auto"/>
              <w:jc w:val="center"/>
              <w:rPr>
                <w:rFonts w:ascii="Arial" w:eastAsia="Arial" w:hAnsi="Arial" w:cs="Arial"/>
                <w:color w:val="000000"/>
                <w:sz w:val="18"/>
                <w:szCs w:val="18"/>
              </w:rPr>
            </w:pPr>
            <w:r w:rsidRPr="006B01C8">
              <w:rPr>
                <w:rFonts w:ascii="Arial" w:eastAsia="Arial" w:hAnsi="Arial" w:cs="Arial"/>
                <w:color w:val="000000"/>
                <w:sz w:val="18"/>
                <w:szCs w:val="18"/>
              </w:rPr>
              <w:t>51,1%</w:t>
            </w:r>
          </w:p>
        </w:tc>
      </w:tr>
      <w:tr w:rsidR="00297C67" w:rsidRPr="006B01C8" w14:paraId="69AA01F6" w14:textId="77777777" w:rsidTr="00297C67">
        <w:trPr>
          <w:trHeight w:val="354"/>
          <w:jc w:val="center"/>
        </w:trPr>
        <w:tc>
          <w:tcPr>
            <w:tcW w:w="0" w:type="auto"/>
            <w:vAlign w:val="center"/>
            <w:hideMark/>
          </w:tcPr>
          <w:p w14:paraId="17534F48"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Cáncer</w:t>
            </w:r>
          </w:p>
        </w:tc>
        <w:tc>
          <w:tcPr>
            <w:tcW w:w="0" w:type="auto"/>
            <w:vAlign w:val="center"/>
            <w:hideMark/>
          </w:tcPr>
          <w:p w14:paraId="72152D42"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58%</w:t>
            </w:r>
          </w:p>
        </w:tc>
        <w:tc>
          <w:tcPr>
            <w:tcW w:w="0" w:type="auto"/>
            <w:vAlign w:val="center"/>
            <w:hideMark/>
          </w:tcPr>
          <w:p w14:paraId="31762E58"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68%</w:t>
            </w:r>
          </w:p>
        </w:tc>
        <w:tc>
          <w:tcPr>
            <w:tcW w:w="0" w:type="auto"/>
            <w:vAlign w:val="center"/>
            <w:hideMark/>
          </w:tcPr>
          <w:p w14:paraId="1DDCB911"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58%</w:t>
            </w:r>
          </w:p>
        </w:tc>
        <w:tc>
          <w:tcPr>
            <w:tcW w:w="0" w:type="auto"/>
            <w:vAlign w:val="center"/>
            <w:hideMark/>
          </w:tcPr>
          <w:p w14:paraId="37B48583"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59%</w:t>
            </w:r>
          </w:p>
        </w:tc>
        <w:tc>
          <w:tcPr>
            <w:tcW w:w="0" w:type="auto"/>
            <w:vAlign w:val="center"/>
            <w:hideMark/>
          </w:tcPr>
          <w:p w14:paraId="2372BF3E"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48%</w:t>
            </w:r>
          </w:p>
        </w:tc>
        <w:tc>
          <w:tcPr>
            <w:tcW w:w="0" w:type="auto"/>
            <w:vAlign w:val="center"/>
            <w:hideMark/>
          </w:tcPr>
          <w:p w14:paraId="041F8066"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49%</w:t>
            </w:r>
          </w:p>
        </w:tc>
        <w:tc>
          <w:tcPr>
            <w:tcW w:w="0" w:type="auto"/>
            <w:vAlign w:val="center"/>
            <w:hideMark/>
          </w:tcPr>
          <w:p w14:paraId="478D787C"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37%</w:t>
            </w:r>
          </w:p>
        </w:tc>
        <w:tc>
          <w:tcPr>
            <w:tcW w:w="0" w:type="auto"/>
            <w:vAlign w:val="center"/>
            <w:hideMark/>
          </w:tcPr>
          <w:p w14:paraId="19540610"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37%</w:t>
            </w:r>
          </w:p>
        </w:tc>
        <w:tc>
          <w:tcPr>
            <w:tcW w:w="0" w:type="auto"/>
            <w:vAlign w:val="center"/>
            <w:hideMark/>
          </w:tcPr>
          <w:p w14:paraId="4779658F"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25%</w:t>
            </w:r>
          </w:p>
        </w:tc>
        <w:tc>
          <w:tcPr>
            <w:tcW w:w="0" w:type="auto"/>
            <w:vAlign w:val="center"/>
            <w:hideMark/>
          </w:tcPr>
          <w:p w14:paraId="1739FF4F"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24%</w:t>
            </w:r>
          </w:p>
        </w:tc>
        <w:tc>
          <w:tcPr>
            <w:tcW w:w="0" w:type="auto"/>
            <w:vAlign w:val="center"/>
            <w:hideMark/>
          </w:tcPr>
          <w:p w14:paraId="270443CE" w14:textId="77777777" w:rsidR="006B01C8" w:rsidRPr="006B01C8" w:rsidRDefault="006B01C8" w:rsidP="005B2285">
            <w:pPr>
              <w:spacing w:line="360" w:lineRule="auto"/>
              <w:jc w:val="center"/>
              <w:rPr>
                <w:rFonts w:ascii="Arial" w:eastAsia="Arial" w:hAnsi="Arial" w:cs="Arial"/>
                <w:color w:val="000000"/>
                <w:sz w:val="18"/>
                <w:szCs w:val="18"/>
              </w:rPr>
            </w:pPr>
            <w:r w:rsidRPr="006B01C8">
              <w:rPr>
                <w:rFonts w:ascii="Arial" w:eastAsia="Arial" w:hAnsi="Arial" w:cs="Arial"/>
                <w:color w:val="000000"/>
                <w:sz w:val="18"/>
                <w:szCs w:val="18"/>
              </w:rPr>
              <w:t>48,7%</w:t>
            </w:r>
          </w:p>
        </w:tc>
      </w:tr>
      <w:tr w:rsidR="00297C67" w:rsidRPr="006B01C8" w14:paraId="43B6A430" w14:textId="77777777" w:rsidTr="00297C67">
        <w:trPr>
          <w:trHeight w:val="340"/>
          <w:jc w:val="center"/>
        </w:trPr>
        <w:tc>
          <w:tcPr>
            <w:tcW w:w="0" w:type="auto"/>
            <w:vAlign w:val="center"/>
            <w:hideMark/>
          </w:tcPr>
          <w:p w14:paraId="3A1A2930"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Trasplantados</w:t>
            </w:r>
          </w:p>
        </w:tc>
        <w:tc>
          <w:tcPr>
            <w:tcW w:w="0" w:type="auto"/>
            <w:vAlign w:val="center"/>
            <w:hideMark/>
          </w:tcPr>
          <w:p w14:paraId="18AAE2B8"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61%</w:t>
            </w:r>
          </w:p>
        </w:tc>
        <w:tc>
          <w:tcPr>
            <w:tcW w:w="0" w:type="auto"/>
            <w:vAlign w:val="center"/>
            <w:hideMark/>
          </w:tcPr>
          <w:p w14:paraId="6EC85CDF"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81%</w:t>
            </w:r>
          </w:p>
        </w:tc>
        <w:tc>
          <w:tcPr>
            <w:tcW w:w="0" w:type="auto"/>
            <w:vAlign w:val="center"/>
            <w:hideMark/>
          </w:tcPr>
          <w:p w14:paraId="179FC16A"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75%</w:t>
            </w:r>
          </w:p>
        </w:tc>
        <w:tc>
          <w:tcPr>
            <w:tcW w:w="0" w:type="auto"/>
            <w:vAlign w:val="center"/>
            <w:hideMark/>
          </w:tcPr>
          <w:p w14:paraId="66CBB049"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52%</w:t>
            </w:r>
          </w:p>
        </w:tc>
        <w:tc>
          <w:tcPr>
            <w:tcW w:w="0" w:type="auto"/>
            <w:vAlign w:val="center"/>
            <w:hideMark/>
          </w:tcPr>
          <w:p w14:paraId="2F36C3E0"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20%</w:t>
            </w:r>
          </w:p>
        </w:tc>
        <w:tc>
          <w:tcPr>
            <w:tcW w:w="0" w:type="auto"/>
            <w:vAlign w:val="center"/>
            <w:hideMark/>
          </w:tcPr>
          <w:p w14:paraId="63053CAB"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44%</w:t>
            </w:r>
          </w:p>
        </w:tc>
        <w:tc>
          <w:tcPr>
            <w:tcW w:w="0" w:type="auto"/>
            <w:vAlign w:val="center"/>
            <w:hideMark/>
          </w:tcPr>
          <w:p w14:paraId="5AF55339"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22%</w:t>
            </w:r>
          </w:p>
        </w:tc>
        <w:tc>
          <w:tcPr>
            <w:tcW w:w="0" w:type="auto"/>
            <w:vAlign w:val="center"/>
            <w:hideMark/>
          </w:tcPr>
          <w:p w14:paraId="10868927"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25%</w:t>
            </w:r>
          </w:p>
        </w:tc>
        <w:tc>
          <w:tcPr>
            <w:tcW w:w="0" w:type="auto"/>
            <w:vAlign w:val="center"/>
            <w:hideMark/>
          </w:tcPr>
          <w:p w14:paraId="14484FAC"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43%</w:t>
            </w:r>
          </w:p>
        </w:tc>
        <w:tc>
          <w:tcPr>
            <w:tcW w:w="0" w:type="auto"/>
            <w:vAlign w:val="center"/>
            <w:hideMark/>
          </w:tcPr>
          <w:p w14:paraId="35253D4C"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22%</w:t>
            </w:r>
          </w:p>
        </w:tc>
        <w:tc>
          <w:tcPr>
            <w:tcW w:w="0" w:type="auto"/>
            <w:vAlign w:val="center"/>
            <w:hideMark/>
          </w:tcPr>
          <w:p w14:paraId="70AD4ED8" w14:textId="77777777" w:rsidR="006B01C8" w:rsidRPr="006B01C8" w:rsidRDefault="006B01C8" w:rsidP="005B2285">
            <w:pPr>
              <w:spacing w:line="360" w:lineRule="auto"/>
              <w:jc w:val="center"/>
              <w:rPr>
                <w:rFonts w:ascii="Arial" w:eastAsia="Arial" w:hAnsi="Arial" w:cs="Arial"/>
                <w:color w:val="000000"/>
                <w:sz w:val="18"/>
                <w:szCs w:val="18"/>
              </w:rPr>
            </w:pPr>
            <w:r w:rsidRPr="006B01C8">
              <w:rPr>
                <w:rFonts w:ascii="Arial" w:eastAsia="Arial" w:hAnsi="Arial" w:cs="Arial"/>
                <w:color w:val="000000"/>
                <w:sz w:val="18"/>
                <w:szCs w:val="18"/>
              </w:rPr>
              <w:t>48,5%</w:t>
            </w:r>
          </w:p>
        </w:tc>
      </w:tr>
      <w:tr w:rsidR="00297C67" w:rsidRPr="006B01C8" w14:paraId="2DAEDEE8" w14:textId="77777777" w:rsidTr="00297C67">
        <w:trPr>
          <w:trHeight w:val="354"/>
          <w:jc w:val="center"/>
        </w:trPr>
        <w:tc>
          <w:tcPr>
            <w:tcW w:w="0" w:type="auto"/>
            <w:vAlign w:val="center"/>
            <w:hideMark/>
          </w:tcPr>
          <w:p w14:paraId="50C598AF"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Huérfanas</w:t>
            </w:r>
          </w:p>
        </w:tc>
        <w:tc>
          <w:tcPr>
            <w:tcW w:w="0" w:type="auto"/>
            <w:vAlign w:val="center"/>
            <w:hideMark/>
          </w:tcPr>
          <w:p w14:paraId="477F43D8"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53%</w:t>
            </w:r>
          </w:p>
        </w:tc>
        <w:tc>
          <w:tcPr>
            <w:tcW w:w="0" w:type="auto"/>
            <w:vAlign w:val="center"/>
            <w:hideMark/>
          </w:tcPr>
          <w:p w14:paraId="785AA03D"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67%</w:t>
            </w:r>
          </w:p>
        </w:tc>
        <w:tc>
          <w:tcPr>
            <w:tcW w:w="0" w:type="auto"/>
            <w:vAlign w:val="center"/>
            <w:hideMark/>
          </w:tcPr>
          <w:p w14:paraId="47C23E25"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58%</w:t>
            </w:r>
          </w:p>
        </w:tc>
        <w:tc>
          <w:tcPr>
            <w:tcW w:w="0" w:type="auto"/>
            <w:vAlign w:val="center"/>
            <w:hideMark/>
          </w:tcPr>
          <w:p w14:paraId="01D6E032"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59%</w:t>
            </w:r>
          </w:p>
        </w:tc>
        <w:tc>
          <w:tcPr>
            <w:tcW w:w="0" w:type="auto"/>
            <w:vAlign w:val="center"/>
            <w:hideMark/>
          </w:tcPr>
          <w:p w14:paraId="2B638DF8"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44%</w:t>
            </w:r>
          </w:p>
        </w:tc>
        <w:tc>
          <w:tcPr>
            <w:tcW w:w="0" w:type="auto"/>
            <w:vAlign w:val="center"/>
            <w:hideMark/>
          </w:tcPr>
          <w:p w14:paraId="254A3897"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37%</w:t>
            </w:r>
          </w:p>
        </w:tc>
        <w:tc>
          <w:tcPr>
            <w:tcW w:w="0" w:type="auto"/>
            <w:vAlign w:val="center"/>
            <w:hideMark/>
          </w:tcPr>
          <w:p w14:paraId="2B69CD00"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40%</w:t>
            </w:r>
          </w:p>
        </w:tc>
        <w:tc>
          <w:tcPr>
            <w:tcW w:w="0" w:type="auto"/>
            <w:vAlign w:val="center"/>
            <w:hideMark/>
          </w:tcPr>
          <w:p w14:paraId="14EA522B"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31%</w:t>
            </w:r>
          </w:p>
        </w:tc>
        <w:tc>
          <w:tcPr>
            <w:tcW w:w="0" w:type="auto"/>
            <w:vAlign w:val="center"/>
            <w:hideMark/>
          </w:tcPr>
          <w:p w14:paraId="7C5EF4F0"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30%</w:t>
            </w:r>
          </w:p>
        </w:tc>
        <w:tc>
          <w:tcPr>
            <w:tcW w:w="0" w:type="auto"/>
            <w:vAlign w:val="center"/>
            <w:hideMark/>
          </w:tcPr>
          <w:p w14:paraId="61E799AA" w14:textId="77777777" w:rsidR="006B01C8" w:rsidRPr="006B01C8" w:rsidRDefault="006B01C8" w:rsidP="005B2285">
            <w:pPr>
              <w:spacing w:line="360" w:lineRule="auto"/>
              <w:jc w:val="both"/>
              <w:rPr>
                <w:rFonts w:ascii="Arial" w:eastAsia="Arial" w:hAnsi="Arial" w:cs="Arial"/>
                <w:color w:val="000000"/>
                <w:sz w:val="18"/>
                <w:szCs w:val="18"/>
              </w:rPr>
            </w:pPr>
            <w:r w:rsidRPr="006B01C8">
              <w:rPr>
                <w:rFonts w:ascii="Arial" w:eastAsia="Arial" w:hAnsi="Arial" w:cs="Arial"/>
                <w:color w:val="000000"/>
                <w:sz w:val="18"/>
                <w:szCs w:val="18"/>
              </w:rPr>
              <w:t>26%</w:t>
            </w:r>
          </w:p>
        </w:tc>
        <w:tc>
          <w:tcPr>
            <w:tcW w:w="0" w:type="auto"/>
            <w:vAlign w:val="center"/>
            <w:hideMark/>
          </w:tcPr>
          <w:p w14:paraId="0CFEFFFA" w14:textId="77777777" w:rsidR="006B01C8" w:rsidRPr="006B01C8" w:rsidRDefault="006B01C8" w:rsidP="005B2285">
            <w:pPr>
              <w:spacing w:line="360" w:lineRule="auto"/>
              <w:jc w:val="center"/>
              <w:rPr>
                <w:rFonts w:ascii="Arial" w:eastAsia="Arial" w:hAnsi="Arial" w:cs="Arial"/>
                <w:color w:val="000000"/>
                <w:sz w:val="18"/>
                <w:szCs w:val="18"/>
              </w:rPr>
            </w:pPr>
            <w:r w:rsidRPr="006B01C8">
              <w:rPr>
                <w:rFonts w:ascii="Arial" w:eastAsia="Arial" w:hAnsi="Arial" w:cs="Arial"/>
                <w:color w:val="000000"/>
                <w:sz w:val="18"/>
                <w:szCs w:val="18"/>
              </w:rPr>
              <w:t>46,4%</w:t>
            </w:r>
          </w:p>
        </w:tc>
      </w:tr>
    </w:tbl>
    <w:p w14:paraId="28AA2FE4" w14:textId="77777777" w:rsidR="006B01C8" w:rsidRPr="006B01C8" w:rsidRDefault="006B01C8" w:rsidP="005B2285">
      <w:pPr>
        <w:spacing w:line="360" w:lineRule="auto"/>
        <w:jc w:val="both"/>
        <w:rPr>
          <w:rFonts w:ascii="Arial" w:eastAsia="Arial" w:hAnsi="Arial" w:cs="Arial"/>
          <w:color w:val="000000"/>
          <w:sz w:val="16"/>
          <w:szCs w:val="16"/>
        </w:rPr>
      </w:pPr>
      <w:r w:rsidRPr="006B01C8">
        <w:rPr>
          <w:rFonts w:ascii="Arial" w:eastAsia="Arial" w:hAnsi="Arial" w:cs="Arial"/>
          <w:b/>
          <w:bCs/>
          <w:color w:val="000000"/>
          <w:sz w:val="16"/>
          <w:szCs w:val="16"/>
        </w:rPr>
        <w:t>Fuente:</w:t>
      </w:r>
      <w:r w:rsidRPr="006B01C8">
        <w:rPr>
          <w:rFonts w:ascii="Arial" w:eastAsia="Arial" w:hAnsi="Arial" w:cs="Arial"/>
          <w:color w:val="000000"/>
          <w:sz w:val="16"/>
          <w:szCs w:val="16"/>
        </w:rPr>
        <w:t xml:space="preserve"> Capital Salud EPS-S. Respuesta al requerimiento No. 026-EE-54444 de la Subdirección de Garantía del Aseguramiento, mediante la cual se remite información de medicamentos pendientes sin entrega efectiva por cohorte, serie mensual enero-octubre de 2025.</w:t>
      </w:r>
    </w:p>
    <w:p w14:paraId="704FBDEB" w14:textId="77777777" w:rsidR="006B01C8" w:rsidRDefault="006B01C8" w:rsidP="005B2285">
      <w:pPr>
        <w:spacing w:line="360" w:lineRule="auto"/>
        <w:jc w:val="both"/>
        <w:rPr>
          <w:rFonts w:ascii="Arial" w:eastAsia="Arial" w:hAnsi="Arial" w:cs="Arial"/>
          <w:color w:val="000000"/>
          <w:sz w:val="16"/>
          <w:szCs w:val="16"/>
        </w:rPr>
      </w:pPr>
    </w:p>
    <w:p w14:paraId="1D102618" w14:textId="77777777" w:rsidR="00D441B4" w:rsidRDefault="00D441B4" w:rsidP="00D441B4">
      <w:pPr>
        <w:spacing w:line="360" w:lineRule="auto"/>
        <w:jc w:val="both"/>
        <w:rPr>
          <w:rFonts w:ascii="Arial" w:hAnsi="Arial" w:cs="Arial"/>
          <w:color w:val="000000" w:themeColor="text1"/>
        </w:rPr>
      </w:pPr>
      <w:r w:rsidRPr="00D441B4">
        <w:rPr>
          <w:rFonts w:ascii="Arial" w:hAnsi="Arial" w:cs="Arial"/>
          <w:color w:val="000000" w:themeColor="text1"/>
        </w:rPr>
        <w:lastRenderedPageBreak/>
        <w:t xml:space="preserve">Al realizar el análisis de los porcentajes de medicamentos pendientes que permanecen sin entrega efectiva a la fecha de corte del reporte realizado por Capital Salud EPS-S, se observa que las cohortes de </w:t>
      </w:r>
      <w:r w:rsidRPr="00D441B4">
        <w:rPr>
          <w:rFonts w:ascii="Arial" w:hAnsi="Arial" w:cs="Arial"/>
          <w:b/>
          <w:bCs/>
          <w:color w:val="000000" w:themeColor="text1"/>
        </w:rPr>
        <w:t>Hemofilia (54,1%)</w:t>
      </w:r>
      <w:r w:rsidRPr="00D441B4">
        <w:rPr>
          <w:rFonts w:ascii="Arial" w:hAnsi="Arial" w:cs="Arial"/>
          <w:color w:val="000000" w:themeColor="text1"/>
        </w:rPr>
        <w:t xml:space="preserve">, </w:t>
      </w:r>
      <w:r w:rsidRPr="00D441B4">
        <w:rPr>
          <w:rFonts w:ascii="Arial" w:hAnsi="Arial" w:cs="Arial"/>
          <w:b/>
          <w:bCs/>
          <w:color w:val="000000" w:themeColor="text1"/>
        </w:rPr>
        <w:t>ERC (53,6%)</w:t>
      </w:r>
      <w:r w:rsidRPr="00D441B4">
        <w:rPr>
          <w:rFonts w:ascii="Arial" w:hAnsi="Arial" w:cs="Arial"/>
          <w:color w:val="000000" w:themeColor="text1"/>
        </w:rPr>
        <w:t xml:space="preserve">, </w:t>
      </w:r>
      <w:r w:rsidRPr="00D441B4">
        <w:rPr>
          <w:rFonts w:ascii="Arial" w:hAnsi="Arial" w:cs="Arial"/>
          <w:b/>
          <w:bCs/>
          <w:color w:val="000000" w:themeColor="text1"/>
        </w:rPr>
        <w:t>Hepatitis C (52,3%)</w:t>
      </w:r>
      <w:r w:rsidRPr="00D441B4">
        <w:rPr>
          <w:rFonts w:ascii="Arial" w:hAnsi="Arial" w:cs="Arial"/>
          <w:color w:val="000000" w:themeColor="text1"/>
        </w:rPr>
        <w:t xml:space="preserve">, </w:t>
      </w:r>
      <w:r w:rsidRPr="00D441B4">
        <w:rPr>
          <w:rFonts w:ascii="Arial" w:hAnsi="Arial" w:cs="Arial"/>
          <w:b/>
          <w:bCs/>
          <w:color w:val="000000" w:themeColor="text1"/>
        </w:rPr>
        <w:t>VIH (51,8%)</w:t>
      </w:r>
      <w:r w:rsidRPr="00D441B4">
        <w:rPr>
          <w:rFonts w:ascii="Arial" w:hAnsi="Arial" w:cs="Arial"/>
          <w:color w:val="000000" w:themeColor="text1"/>
        </w:rPr>
        <w:t xml:space="preserve"> y </w:t>
      </w:r>
      <w:r w:rsidRPr="00D441B4">
        <w:rPr>
          <w:rFonts w:ascii="Arial" w:hAnsi="Arial" w:cs="Arial"/>
          <w:b/>
          <w:bCs/>
          <w:color w:val="000000" w:themeColor="text1"/>
        </w:rPr>
        <w:t>Artritis (51,1%)</w:t>
      </w:r>
      <w:r w:rsidRPr="00D441B4">
        <w:rPr>
          <w:rFonts w:ascii="Arial" w:hAnsi="Arial" w:cs="Arial"/>
          <w:color w:val="000000" w:themeColor="text1"/>
        </w:rPr>
        <w:t xml:space="preserve"> presentan los mayores porcentajes acumulados de medicamentos pendientes sin entrega efectiva durante el periodo enero-octubre de 2025. Lo anterior indica que, en estas cohortes, aproximadamente uno de cada dos medicamentos que generó pendiente continuaba sin evidencia de entrega efectiva al momento del reporte, situación especialmente relevante por tratarse de patologías que requieren tratamientos continuos, seguimiento clínico permanente y altos niveles de adherencia para alcanzar los resultados esperados en salud.</w:t>
      </w:r>
    </w:p>
    <w:p w14:paraId="2B4928F4" w14:textId="77777777" w:rsidR="00D441B4" w:rsidRPr="00D441B4" w:rsidRDefault="00D441B4" w:rsidP="00D441B4">
      <w:pPr>
        <w:spacing w:line="360" w:lineRule="auto"/>
        <w:jc w:val="both"/>
        <w:rPr>
          <w:rFonts w:ascii="Arial" w:hAnsi="Arial" w:cs="Arial"/>
          <w:color w:val="000000" w:themeColor="text1"/>
        </w:rPr>
      </w:pPr>
    </w:p>
    <w:p w14:paraId="0F922DE7" w14:textId="77777777" w:rsidR="00D441B4" w:rsidRPr="00D441B4" w:rsidRDefault="00D441B4" w:rsidP="00D441B4">
      <w:pPr>
        <w:spacing w:line="360" w:lineRule="auto"/>
        <w:jc w:val="both"/>
        <w:rPr>
          <w:rFonts w:ascii="Arial" w:hAnsi="Arial" w:cs="Arial"/>
          <w:color w:val="000000" w:themeColor="text1"/>
        </w:rPr>
      </w:pPr>
      <w:r w:rsidRPr="00D441B4">
        <w:rPr>
          <w:rFonts w:ascii="Arial" w:hAnsi="Arial" w:cs="Arial"/>
          <w:color w:val="000000" w:themeColor="text1"/>
        </w:rPr>
        <w:t xml:space="preserve">Aunque la cohorte de </w:t>
      </w:r>
      <w:r w:rsidRPr="00D441B4">
        <w:rPr>
          <w:rFonts w:ascii="Arial" w:hAnsi="Arial" w:cs="Arial"/>
          <w:b/>
          <w:bCs/>
          <w:color w:val="000000" w:themeColor="text1"/>
        </w:rPr>
        <w:t>Cáncer</w:t>
      </w:r>
      <w:r w:rsidRPr="00D441B4">
        <w:rPr>
          <w:rFonts w:ascii="Arial" w:hAnsi="Arial" w:cs="Arial"/>
          <w:color w:val="000000" w:themeColor="text1"/>
        </w:rPr>
        <w:t xml:space="preserve"> registra un porcentaje acumulado de </w:t>
      </w:r>
      <w:r w:rsidRPr="00D441B4">
        <w:rPr>
          <w:rFonts w:ascii="Arial" w:hAnsi="Arial" w:cs="Arial"/>
          <w:b/>
          <w:bCs/>
          <w:color w:val="000000" w:themeColor="text1"/>
        </w:rPr>
        <w:t>48,7%</w:t>
      </w:r>
      <w:r w:rsidRPr="00D441B4">
        <w:rPr>
          <w:rFonts w:ascii="Arial" w:hAnsi="Arial" w:cs="Arial"/>
          <w:color w:val="000000" w:themeColor="text1"/>
        </w:rPr>
        <w:t>, inferior al observado en las cohortes previamente mencionadas, este resultado debe interpretarse considerando el volumen absoluto de medicamentos involucrados. En efecto, esta cohorte concentra la mayor cantidad de solicitudes, pendientes y medicamentos sin entrega efectiva, por lo que incluso pequeñas variaciones porcentuales representan un número considerable de usuarios potencialmente expuestos a retrasos o interrupciones en sus tratamientos. En este contexto, el riesgo asociado a la cohorte de cáncer continúa siendo prioritario debido al impacto clínico que puede generar la falta de acceso oportuno a medicamentos oncológicos.</w:t>
      </w:r>
    </w:p>
    <w:p w14:paraId="75F7BFD2" w14:textId="77777777" w:rsidR="00D441B4" w:rsidRDefault="00D441B4" w:rsidP="00D441B4">
      <w:pPr>
        <w:spacing w:line="360" w:lineRule="auto"/>
        <w:jc w:val="both"/>
        <w:rPr>
          <w:rFonts w:ascii="Arial" w:hAnsi="Arial" w:cs="Arial"/>
          <w:color w:val="000000" w:themeColor="text1"/>
        </w:rPr>
      </w:pPr>
      <w:r w:rsidRPr="00D441B4">
        <w:rPr>
          <w:rFonts w:ascii="Arial" w:hAnsi="Arial" w:cs="Arial"/>
          <w:color w:val="000000" w:themeColor="text1"/>
        </w:rPr>
        <w:t xml:space="preserve">De igual manera, las cohortes de </w:t>
      </w:r>
      <w:r w:rsidRPr="00D441B4">
        <w:rPr>
          <w:rFonts w:ascii="Arial" w:hAnsi="Arial" w:cs="Arial"/>
          <w:b/>
          <w:bCs/>
          <w:color w:val="000000" w:themeColor="text1"/>
        </w:rPr>
        <w:t>Trasplantados (48,5%)</w:t>
      </w:r>
      <w:r w:rsidRPr="00D441B4">
        <w:rPr>
          <w:rFonts w:ascii="Arial" w:hAnsi="Arial" w:cs="Arial"/>
          <w:color w:val="000000" w:themeColor="text1"/>
        </w:rPr>
        <w:t xml:space="preserve"> y </w:t>
      </w:r>
      <w:r w:rsidRPr="00D441B4">
        <w:rPr>
          <w:rFonts w:ascii="Arial" w:hAnsi="Arial" w:cs="Arial"/>
          <w:b/>
          <w:bCs/>
          <w:color w:val="000000" w:themeColor="text1"/>
        </w:rPr>
        <w:t>Huérfanas (46,4%)</w:t>
      </w:r>
      <w:r w:rsidRPr="00D441B4">
        <w:rPr>
          <w:rFonts w:ascii="Arial" w:hAnsi="Arial" w:cs="Arial"/>
          <w:color w:val="000000" w:themeColor="text1"/>
        </w:rPr>
        <w:t xml:space="preserve"> presentan porcentajes acumulados inferiores frente a las cohortes con mayor proporción relativa de no entrega; sin embargo, su interpretación debe considerar la alta vulnerabilidad clínica de estas poblaciones y la dependencia de tratamientos especializados, cuya interrupción puede generar consecuencias significativas sobre la estabilidad clínica, la evolución de la enfermedad y la necesidad de atención de mayor complejidad.</w:t>
      </w:r>
    </w:p>
    <w:p w14:paraId="6F33E768" w14:textId="77777777" w:rsidR="00D441B4" w:rsidRPr="00D441B4" w:rsidRDefault="00D441B4" w:rsidP="00D441B4">
      <w:pPr>
        <w:spacing w:line="360" w:lineRule="auto"/>
        <w:jc w:val="both"/>
        <w:rPr>
          <w:rFonts w:ascii="Arial" w:hAnsi="Arial" w:cs="Arial"/>
          <w:color w:val="000000" w:themeColor="text1"/>
        </w:rPr>
      </w:pPr>
    </w:p>
    <w:p w14:paraId="3C86D160" w14:textId="77777777" w:rsidR="00D441B4" w:rsidRDefault="00D441B4" w:rsidP="00D441B4">
      <w:pPr>
        <w:spacing w:line="360" w:lineRule="auto"/>
        <w:jc w:val="both"/>
        <w:rPr>
          <w:rFonts w:ascii="Arial" w:hAnsi="Arial" w:cs="Arial"/>
          <w:color w:val="000000" w:themeColor="text1"/>
        </w:rPr>
      </w:pPr>
      <w:r w:rsidRPr="00D441B4">
        <w:rPr>
          <w:rFonts w:ascii="Arial" w:hAnsi="Arial" w:cs="Arial"/>
          <w:color w:val="000000" w:themeColor="text1"/>
        </w:rPr>
        <w:t xml:space="preserve">El comportamiento mensual muestra porcentajes particularmente elevados durante enero y febrero en varias cohortes. En febrero, por ejemplo, se registraron niveles </w:t>
      </w:r>
      <w:r w:rsidRPr="00D441B4">
        <w:rPr>
          <w:rFonts w:ascii="Arial" w:hAnsi="Arial" w:cs="Arial"/>
          <w:color w:val="000000" w:themeColor="text1"/>
        </w:rPr>
        <w:lastRenderedPageBreak/>
        <w:t xml:space="preserve">superiores al 65% en </w:t>
      </w:r>
      <w:r w:rsidRPr="00D441B4">
        <w:rPr>
          <w:rFonts w:ascii="Arial" w:hAnsi="Arial" w:cs="Arial"/>
          <w:b/>
          <w:bCs/>
          <w:color w:val="000000" w:themeColor="text1"/>
        </w:rPr>
        <w:t>Hemofilia (100%)</w:t>
      </w:r>
      <w:r w:rsidRPr="00D441B4">
        <w:rPr>
          <w:rFonts w:ascii="Arial" w:hAnsi="Arial" w:cs="Arial"/>
          <w:color w:val="000000" w:themeColor="text1"/>
        </w:rPr>
        <w:t xml:space="preserve">, </w:t>
      </w:r>
      <w:r w:rsidRPr="00D441B4">
        <w:rPr>
          <w:rFonts w:ascii="Arial" w:hAnsi="Arial" w:cs="Arial"/>
          <w:b/>
          <w:bCs/>
          <w:color w:val="000000" w:themeColor="text1"/>
        </w:rPr>
        <w:t>Trasplantados (81%)</w:t>
      </w:r>
      <w:r w:rsidRPr="00D441B4">
        <w:rPr>
          <w:rFonts w:ascii="Arial" w:hAnsi="Arial" w:cs="Arial"/>
          <w:color w:val="000000" w:themeColor="text1"/>
        </w:rPr>
        <w:t xml:space="preserve">, </w:t>
      </w:r>
      <w:r w:rsidRPr="00D441B4">
        <w:rPr>
          <w:rFonts w:ascii="Arial" w:hAnsi="Arial" w:cs="Arial"/>
          <w:b/>
          <w:bCs/>
          <w:color w:val="000000" w:themeColor="text1"/>
        </w:rPr>
        <w:t>Hepatitis C (78%)</w:t>
      </w:r>
      <w:r w:rsidRPr="00D441B4">
        <w:rPr>
          <w:rFonts w:ascii="Arial" w:hAnsi="Arial" w:cs="Arial"/>
          <w:color w:val="000000" w:themeColor="text1"/>
        </w:rPr>
        <w:t xml:space="preserve">, </w:t>
      </w:r>
      <w:r w:rsidRPr="00D441B4">
        <w:rPr>
          <w:rFonts w:ascii="Arial" w:hAnsi="Arial" w:cs="Arial"/>
          <w:b/>
          <w:bCs/>
          <w:color w:val="000000" w:themeColor="text1"/>
        </w:rPr>
        <w:t>ERC (73%)</w:t>
      </w:r>
      <w:r w:rsidRPr="00D441B4">
        <w:rPr>
          <w:rFonts w:ascii="Arial" w:hAnsi="Arial" w:cs="Arial"/>
          <w:color w:val="000000" w:themeColor="text1"/>
        </w:rPr>
        <w:t xml:space="preserve"> y </w:t>
      </w:r>
      <w:r w:rsidRPr="00D441B4">
        <w:rPr>
          <w:rFonts w:ascii="Arial" w:hAnsi="Arial" w:cs="Arial"/>
          <w:b/>
          <w:bCs/>
          <w:color w:val="000000" w:themeColor="text1"/>
        </w:rPr>
        <w:t>Artritis (72%)</w:t>
      </w:r>
      <w:r w:rsidRPr="00D441B4">
        <w:rPr>
          <w:rFonts w:ascii="Arial" w:hAnsi="Arial" w:cs="Arial"/>
          <w:color w:val="000000" w:themeColor="text1"/>
        </w:rPr>
        <w:t>. Este comportamiento podría estar asociado a dificultades de abastecimiento, limitaciones logísticas, problemas de disponibilidad de tecnologías en salud o debilidades en los mecanismos de seguimiento y cierre efectivo de pendientes.</w:t>
      </w:r>
    </w:p>
    <w:p w14:paraId="685005E8" w14:textId="77777777" w:rsidR="00D441B4" w:rsidRPr="00D441B4" w:rsidRDefault="00D441B4" w:rsidP="00D441B4">
      <w:pPr>
        <w:spacing w:line="360" w:lineRule="auto"/>
        <w:jc w:val="both"/>
        <w:rPr>
          <w:rFonts w:ascii="Arial" w:hAnsi="Arial" w:cs="Arial"/>
          <w:color w:val="000000" w:themeColor="text1"/>
        </w:rPr>
      </w:pPr>
    </w:p>
    <w:p w14:paraId="1B1B33E8" w14:textId="77777777" w:rsidR="00D441B4" w:rsidRDefault="00D441B4" w:rsidP="00D441B4">
      <w:pPr>
        <w:spacing w:line="360" w:lineRule="auto"/>
        <w:jc w:val="both"/>
        <w:rPr>
          <w:rFonts w:ascii="Arial" w:hAnsi="Arial" w:cs="Arial"/>
          <w:color w:val="000000" w:themeColor="text1"/>
        </w:rPr>
      </w:pPr>
      <w:r w:rsidRPr="00D441B4">
        <w:rPr>
          <w:rFonts w:ascii="Arial" w:hAnsi="Arial" w:cs="Arial"/>
          <w:color w:val="000000" w:themeColor="text1"/>
        </w:rPr>
        <w:t>Si bien a partir del segundo semestre se observa una reducción progresiva de los porcentajes en la mayoría de las cohortes, especialmente en octubre, el análisis requiere una validación más profunda que permita establecer si esta disminución corresponde efectivamente a una mejora sostenida en la capacidad de respuesta del operador farmacéutico y de la EPS, o si obedece a ajustes metodológicos, depuración de registros o cambios en los criterios de consolidación de la información reportada.</w:t>
      </w:r>
    </w:p>
    <w:p w14:paraId="473931AD" w14:textId="77777777" w:rsidR="00D441B4" w:rsidRPr="00D441B4" w:rsidRDefault="00D441B4" w:rsidP="00D441B4">
      <w:pPr>
        <w:spacing w:line="360" w:lineRule="auto"/>
        <w:jc w:val="both"/>
        <w:rPr>
          <w:rFonts w:ascii="Arial" w:hAnsi="Arial" w:cs="Arial"/>
          <w:color w:val="000000" w:themeColor="text1"/>
        </w:rPr>
      </w:pPr>
    </w:p>
    <w:p w14:paraId="7DA31190" w14:textId="77777777" w:rsidR="00D441B4" w:rsidRPr="00D441B4" w:rsidRDefault="00D441B4" w:rsidP="00D441B4">
      <w:pPr>
        <w:spacing w:line="360" w:lineRule="auto"/>
        <w:jc w:val="both"/>
        <w:rPr>
          <w:rFonts w:ascii="Arial" w:hAnsi="Arial" w:cs="Arial"/>
          <w:color w:val="000000" w:themeColor="text1"/>
        </w:rPr>
      </w:pPr>
      <w:r w:rsidRPr="00D441B4">
        <w:rPr>
          <w:rFonts w:ascii="Arial" w:hAnsi="Arial" w:cs="Arial"/>
          <w:color w:val="000000" w:themeColor="text1"/>
        </w:rPr>
        <w:t>Desde la perspectiva de gestión del riesgo en salud, el hallazgo más relevante consiste en que una proporción significativa de los medicamentos pendientes continuaba sin entrega efectiva al momento del reporte, particularmente en cohortes caracterizadas por condiciones crónicas, de alto costo y alta complejidad clínica. Esta situación incrementa la probabilidad de interrupciones terapéuticas, pérdida de adherencia al tratamiento, progresión de la enfermedad, descompensaciones clínicas y utilización de servicios de mayor complejidad, con potencial afectación sobre los resultados en salud y la calidad de vida de los afiliados.</w:t>
      </w:r>
    </w:p>
    <w:p w14:paraId="42D14C64" w14:textId="6665261F" w:rsidR="009F762E" w:rsidRPr="00242DFB" w:rsidRDefault="009F762E" w:rsidP="005B2285">
      <w:pPr>
        <w:spacing w:line="360" w:lineRule="auto"/>
        <w:jc w:val="both"/>
        <w:rPr>
          <w:rFonts w:ascii="Arial" w:hAnsi="Arial" w:cs="Arial"/>
          <w:color w:val="000000" w:themeColor="text1"/>
        </w:rPr>
      </w:pPr>
    </w:p>
    <w:p w14:paraId="726C6760" w14:textId="6EC9FDA7" w:rsidR="009F762E" w:rsidRPr="00242DFB" w:rsidRDefault="00305A2F" w:rsidP="005B2285">
      <w:pPr>
        <w:pStyle w:val="Ttulo2"/>
        <w:numPr>
          <w:ilvl w:val="1"/>
          <w:numId w:val="7"/>
        </w:numPr>
        <w:spacing w:before="0" w:line="360" w:lineRule="auto"/>
        <w:jc w:val="both"/>
        <w:rPr>
          <w:rFonts w:ascii="Arial" w:hAnsi="Arial" w:cs="Arial"/>
          <w:b/>
          <w:bCs/>
          <w:color w:val="000000"/>
          <w:sz w:val="24"/>
          <w:szCs w:val="24"/>
        </w:rPr>
      </w:pPr>
      <w:r w:rsidRPr="00242DFB">
        <w:rPr>
          <w:rFonts w:ascii="Arial" w:hAnsi="Arial" w:cs="Arial"/>
          <w:b/>
          <w:bCs/>
          <w:color w:val="000000"/>
          <w:sz w:val="24"/>
          <w:szCs w:val="24"/>
        </w:rPr>
        <w:t xml:space="preserve"> </w:t>
      </w:r>
      <w:bookmarkStart w:id="103" w:name="_Toc233574849"/>
      <w:r w:rsidRPr="00242DFB">
        <w:rPr>
          <w:rFonts w:ascii="Arial" w:hAnsi="Arial" w:cs="Arial"/>
          <w:b/>
          <w:bCs/>
          <w:color w:val="000000"/>
          <w:sz w:val="24"/>
          <w:szCs w:val="24"/>
        </w:rPr>
        <w:t>Dispensación de medicamentos en cohortes priorizadas de alto riesgo: continuidad terapéutica y riesgo clínico</w:t>
      </w:r>
      <w:bookmarkEnd w:id="103"/>
    </w:p>
    <w:p w14:paraId="7CECA833" w14:textId="77777777" w:rsidR="00305A2F" w:rsidRPr="00242DFB" w:rsidRDefault="00305A2F" w:rsidP="005B2285">
      <w:pPr>
        <w:spacing w:line="360" w:lineRule="auto"/>
        <w:jc w:val="center"/>
        <w:rPr>
          <w:rFonts w:ascii="Arial" w:hAnsi="Arial" w:cs="Arial"/>
          <w:color w:val="000000"/>
        </w:rPr>
      </w:pPr>
    </w:p>
    <w:p w14:paraId="3E0C0F81" w14:textId="50663D94" w:rsidR="002D7FF0" w:rsidRPr="00242DFB" w:rsidRDefault="002D7FF0" w:rsidP="005B2285">
      <w:pPr>
        <w:spacing w:line="360" w:lineRule="auto"/>
        <w:jc w:val="both"/>
        <w:rPr>
          <w:rFonts w:ascii="Arial" w:eastAsia="Arial" w:hAnsi="Arial" w:cs="Arial"/>
          <w:color w:val="000000"/>
        </w:rPr>
      </w:pPr>
      <w:r w:rsidRPr="00242DFB">
        <w:rPr>
          <w:rFonts w:ascii="Arial" w:eastAsia="Arial" w:hAnsi="Arial" w:cs="Arial"/>
          <w:color w:val="000000"/>
        </w:rPr>
        <w:t xml:space="preserve">A </w:t>
      </w:r>
      <w:r w:rsidRPr="00242DFB">
        <w:rPr>
          <w:rFonts w:ascii="Arial" w:eastAsia="Arial" w:hAnsi="Arial" w:cs="Arial"/>
          <w:color w:val="000000"/>
        </w:rPr>
        <w:t>continuación,</w:t>
      </w:r>
      <w:r w:rsidRPr="00242DFB">
        <w:rPr>
          <w:rFonts w:ascii="Arial" w:eastAsia="Arial" w:hAnsi="Arial" w:cs="Arial"/>
          <w:color w:val="000000"/>
        </w:rPr>
        <w:t xml:space="preserve"> en la siguiente tabla, evidencia que aproximadamente uno de cada dos requerimientos farmacológicos que presentó dificultades en la dispensación no había sido resuelto oportunamente al momento del reporte, reflejando persistencia significativa del incumplimiento en la entrega efectiva de medicamentos.</w:t>
      </w:r>
    </w:p>
    <w:p w14:paraId="43C6BFEA" w14:textId="113C6562" w:rsidR="009F762E" w:rsidRPr="00242DFB" w:rsidRDefault="009F762E" w:rsidP="005B2285">
      <w:pPr>
        <w:spacing w:line="360" w:lineRule="auto"/>
        <w:jc w:val="center"/>
        <w:rPr>
          <w:rFonts w:ascii="Arial" w:hAnsi="Arial" w:cs="Arial"/>
          <w:color w:val="000000" w:themeColor="text1"/>
        </w:rPr>
      </w:pPr>
    </w:p>
    <w:p w14:paraId="5FC2598F" w14:textId="136CFD0D" w:rsidR="00305A2F" w:rsidRPr="00242DFB" w:rsidRDefault="00305A2F" w:rsidP="005B2285">
      <w:pPr>
        <w:pStyle w:val="Descripcin"/>
        <w:keepNext/>
        <w:spacing w:after="0"/>
        <w:jc w:val="center"/>
        <w:rPr>
          <w:rFonts w:ascii="Arial" w:hAnsi="Arial" w:cs="Arial"/>
          <w:color w:val="000000" w:themeColor="text1"/>
          <w:sz w:val="24"/>
          <w:szCs w:val="24"/>
        </w:rPr>
      </w:pPr>
      <w:bookmarkStart w:id="104" w:name="_Toc233574883"/>
      <w:r w:rsidRPr="00242DFB">
        <w:rPr>
          <w:rFonts w:ascii="Arial" w:hAnsi="Arial" w:cs="Arial"/>
          <w:color w:val="000000" w:themeColor="text1"/>
          <w:sz w:val="24"/>
          <w:szCs w:val="24"/>
        </w:rPr>
        <w:lastRenderedPageBreak/>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23</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Resumen de medicamentos pendientes sin entrega en cohortes priorizadas, Capital Salud EPS-S</w:t>
      </w:r>
      <w:bookmarkEnd w:id="104"/>
    </w:p>
    <w:tbl>
      <w:tblPr>
        <w:tblW w:w="9062" w:type="dxa"/>
        <w:jc w:val="center"/>
        <w:tblLayout w:type="fixed"/>
        <w:tblCellMar>
          <w:left w:w="70" w:type="dxa"/>
          <w:right w:w="70" w:type="dxa"/>
        </w:tblCellMar>
        <w:tblLook w:val="06A0" w:firstRow="1" w:lastRow="0" w:firstColumn="1" w:lastColumn="0" w:noHBand="1" w:noVBand="1"/>
      </w:tblPr>
      <w:tblGrid>
        <w:gridCol w:w="2242"/>
        <w:gridCol w:w="2496"/>
        <w:gridCol w:w="2578"/>
        <w:gridCol w:w="1746"/>
      </w:tblGrid>
      <w:tr w:rsidR="009F762E" w:rsidRPr="00242DFB" w14:paraId="0E06B0FD" w14:textId="77777777" w:rsidTr="00812AF6">
        <w:trPr>
          <w:cantSplit/>
          <w:trHeight w:val="357"/>
          <w:jc w:val="center"/>
        </w:trPr>
        <w:tc>
          <w:tcPr>
            <w:tcW w:w="9062" w:type="dxa"/>
            <w:gridSpan w:val="4"/>
            <w:tcBorders>
              <w:top w:val="single" w:sz="8" w:space="0" w:color="000000"/>
              <w:left w:val="single" w:sz="8" w:space="0" w:color="000000"/>
              <w:bottom w:val="single" w:sz="8" w:space="0" w:color="000000"/>
              <w:right w:val="single" w:sz="8" w:space="0" w:color="000000"/>
            </w:tcBorders>
            <w:vAlign w:val="center"/>
          </w:tcPr>
          <w:p w14:paraId="3ABD5F88"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Dispensación total cohortes objeto - Capital Salud EPS-S</w:t>
            </w:r>
          </w:p>
        </w:tc>
      </w:tr>
      <w:tr w:rsidR="009F762E" w:rsidRPr="00242DFB" w14:paraId="0C6E16E4" w14:textId="77777777" w:rsidTr="00812AF6">
        <w:trPr>
          <w:cantSplit/>
          <w:trHeight w:val="301"/>
          <w:jc w:val="center"/>
        </w:trPr>
        <w:tc>
          <w:tcPr>
            <w:tcW w:w="2242" w:type="dxa"/>
            <w:tcBorders>
              <w:top w:val="single" w:sz="8" w:space="0" w:color="000000"/>
              <w:left w:val="single" w:sz="8" w:space="0" w:color="000000"/>
              <w:bottom w:val="single" w:sz="8" w:space="0" w:color="000000"/>
              <w:right w:val="single" w:sz="8" w:space="0" w:color="000000"/>
            </w:tcBorders>
            <w:vAlign w:val="center"/>
          </w:tcPr>
          <w:p w14:paraId="31C07F73" w14:textId="433BD787" w:rsidR="009F762E" w:rsidRPr="00242DFB" w:rsidRDefault="002D7FF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Total,</w:t>
            </w:r>
            <w:r w:rsidR="00000000" w:rsidRPr="00242DFB">
              <w:rPr>
                <w:rFonts w:ascii="Arial" w:eastAsia="Arial" w:hAnsi="Arial" w:cs="Arial"/>
                <w:b/>
                <w:bCs/>
                <w:color w:val="000000" w:themeColor="text1"/>
              </w:rPr>
              <w:t xml:space="preserve"> de medicamentos solicitados</w:t>
            </w:r>
          </w:p>
        </w:tc>
        <w:tc>
          <w:tcPr>
            <w:tcW w:w="2496" w:type="dxa"/>
            <w:tcBorders>
              <w:left w:val="single" w:sz="8" w:space="0" w:color="000000"/>
              <w:bottom w:val="single" w:sz="8" w:space="0" w:color="000000"/>
              <w:right w:val="single" w:sz="8" w:space="0" w:color="000000"/>
            </w:tcBorders>
            <w:vAlign w:val="center"/>
          </w:tcPr>
          <w:p w14:paraId="40E638B1" w14:textId="766D2B89" w:rsidR="009F762E" w:rsidRPr="00242DFB" w:rsidRDefault="002D7FF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Total,</w:t>
            </w:r>
            <w:r w:rsidR="00000000" w:rsidRPr="00242DFB">
              <w:rPr>
                <w:rFonts w:ascii="Arial" w:eastAsia="Arial" w:hAnsi="Arial" w:cs="Arial"/>
                <w:b/>
                <w:bCs/>
                <w:color w:val="000000" w:themeColor="text1"/>
              </w:rPr>
              <w:t xml:space="preserve"> de medicamentos pendientes</w:t>
            </w:r>
          </w:p>
        </w:tc>
        <w:tc>
          <w:tcPr>
            <w:tcW w:w="2578" w:type="dxa"/>
            <w:tcBorders>
              <w:left w:val="single" w:sz="8" w:space="0" w:color="000000"/>
              <w:bottom w:val="single" w:sz="8" w:space="0" w:color="000000"/>
              <w:right w:val="single" w:sz="8" w:space="0" w:color="000000"/>
            </w:tcBorders>
            <w:vAlign w:val="center"/>
          </w:tcPr>
          <w:p w14:paraId="5B19B6F1" w14:textId="2BAF7B29" w:rsidR="009F762E" w:rsidRPr="00242DFB" w:rsidRDefault="002D7FF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Total,</w:t>
            </w:r>
            <w:r w:rsidR="00000000" w:rsidRPr="00242DFB">
              <w:rPr>
                <w:rFonts w:ascii="Arial" w:eastAsia="Arial" w:hAnsi="Arial" w:cs="Arial"/>
                <w:b/>
                <w:bCs/>
                <w:color w:val="000000" w:themeColor="text1"/>
              </w:rPr>
              <w:t xml:space="preserve"> de medicamentos pendientes sin entrega</w:t>
            </w:r>
          </w:p>
        </w:tc>
        <w:tc>
          <w:tcPr>
            <w:tcW w:w="1746" w:type="dxa"/>
            <w:tcBorders>
              <w:left w:val="single" w:sz="8" w:space="0" w:color="000000"/>
              <w:bottom w:val="single" w:sz="8" w:space="0" w:color="000000"/>
              <w:right w:val="single" w:sz="8" w:space="0" w:color="000000"/>
            </w:tcBorders>
            <w:vAlign w:val="center"/>
          </w:tcPr>
          <w:p w14:paraId="048C10D3"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b/>
                <w:bCs/>
                <w:color w:val="000000" w:themeColor="text1"/>
              </w:rPr>
              <w:t>Porcentaje de no entrega</w:t>
            </w:r>
          </w:p>
        </w:tc>
      </w:tr>
      <w:tr w:rsidR="009F762E" w:rsidRPr="00242DFB" w14:paraId="562AFF7B" w14:textId="77777777" w:rsidTr="00812AF6">
        <w:trPr>
          <w:cantSplit/>
          <w:trHeight w:val="373"/>
          <w:jc w:val="center"/>
        </w:trPr>
        <w:tc>
          <w:tcPr>
            <w:tcW w:w="2242" w:type="dxa"/>
            <w:tcBorders>
              <w:top w:val="single" w:sz="8" w:space="0" w:color="000000"/>
              <w:left w:val="single" w:sz="8" w:space="0" w:color="000000"/>
              <w:bottom w:val="single" w:sz="8" w:space="0" w:color="000000"/>
              <w:right w:val="single" w:sz="8" w:space="0" w:color="000000"/>
            </w:tcBorders>
            <w:vAlign w:val="center"/>
          </w:tcPr>
          <w:p w14:paraId="7670F10E"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367.653</w:t>
            </w:r>
          </w:p>
        </w:tc>
        <w:tc>
          <w:tcPr>
            <w:tcW w:w="2496" w:type="dxa"/>
            <w:tcBorders>
              <w:top w:val="single" w:sz="8" w:space="0" w:color="000000"/>
              <w:left w:val="single" w:sz="8" w:space="0" w:color="000000"/>
              <w:bottom w:val="single" w:sz="8" w:space="0" w:color="000000"/>
              <w:right w:val="single" w:sz="8" w:space="0" w:color="000000"/>
            </w:tcBorders>
            <w:vAlign w:val="center"/>
          </w:tcPr>
          <w:p w14:paraId="65DCAA2F"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71.879</w:t>
            </w:r>
          </w:p>
        </w:tc>
        <w:tc>
          <w:tcPr>
            <w:tcW w:w="2578" w:type="dxa"/>
            <w:tcBorders>
              <w:top w:val="single" w:sz="8" w:space="0" w:color="000000"/>
              <w:left w:val="single" w:sz="8" w:space="0" w:color="000000"/>
              <w:bottom w:val="single" w:sz="8" w:space="0" w:color="000000"/>
              <w:right w:val="single" w:sz="8" w:space="0" w:color="000000"/>
            </w:tcBorders>
            <w:vAlign w:val="center"/>
          </w:tcPr>
          <w:p w14:paraId="5D79AFE7"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35.763</w:t>
            </w:r>
          </w:p>
        </w:tc>
        <w:tc>
          <w:tcPr>
            <w:tcW w:w="1746" w:type="dxa"/>
            <w:tcBorders>
              <w:top w:val="single" w:sz="8" w:space="0" w:color="000000"/>
              <w:left w:val="single" w:sz="8" w:space="0" w:color="000000"/>
              <w:bottom w:val="single" w:sz="8" w:space="0" w:color="000000"/>
              <w:right w:val="single" w:sz="8" w:space="0" w:color="000000"/>
            </w:tcBorders>
            <w:vAlign w:val="center"/>
          </w:tcPr>
          <w:p w14:paraId="205E212A" w14:textId="77777777" w:rsidR="009F762E" w:rsidRPr="00242DFB" w:rsidRDefault="00000000" w:rsidP="005B2285">
            <w:pPr>
              <w:spacing w:line="360" w:lineRule="auto"/>
              <w:jc w:val="center"/>
              <w:rPr>
                <w:rFonts w:ascii="Arial" w:hAnsi="Arial" w:cs="Arial"/>
                <w:color w:val="000000" w:themeColor="text1"/>
              </w:rPr>
            </w:pPr>
            <w:r w:rsidRPr="00242DFB">
              <w:rPr>
                <w:rFonts w:ascii="Arial" w:eastAsia="Arial" w:hAnsi="Arial" w:cs="Arial"/>
                <w:color w:val="000000" w:themeColor="text1"/>
              </w:rPr>
              <w:t>49,75%</w:t>
            </w:r>
          </w:p>
        </w:tc>
      </w:tr>
    </w:tbl>
    <w:p w14:paraId="4A97E681" w14:textId="77777777" w:rsidR="009F762E" w:rsidRPr="00242DFB" w:rsidRDefault="00000000" w:rsidP="005B2285">
      <w:pPr>
        <w:spacing w:line="360" w:lineRule="auto"/>
        <w:jc w:val="both"/>
        <w:rPr>
          <w:rFonts w:ascii="Arial" w:hAnsi="Arial" w:cs="Arial"/>
          <w:color w:val="000000" w:themeColor="text1"/>
          <w:sz w:val="16"/>
          <w:szCs w:val="16"/>
        </w:rPr>
      </w:pPr>
      <w:r w:rsidRPr="00242DFB">
        <w:rPr>
          <w:rFonts w:ascii="Arial" w:hAnsi="Arial" w:cs="Arial"/>
          <w:color w:val="000000"/>
          <w:sz w:val="16"/>
          <w:szCs w:val="16"/>
        </w:rPr>
        <w:t>Fuente: Capital Salud EPS-S Respuesta al requerimiento No. 026-EE-54444 de la Subdirección de Garantía del Aseguramiento, mediante la cual se remite información de medicamentos solicitados por cohorte (serie mensual enero–octubre 2025).</w:t>
      </w:r>
    </w:p>
    <w:p w14:paraId="4072AE04"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059E87A3"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Desde la perspectiva de garantía del acceso, continuidad de los tratamientos y gestión del riesgo en salud, estos resultados constituyen un indicio de incumplimiento en la oportunidad y efectividad del proceso de dispensación farmacéutica, particularmente al considerar que las cohortes analizadas corresponden a poblaciones con enfermedades crónicas, de alto costo y alta complejidad clínica. La permanencia de un volumen importante de medicamentos sin entrega efectiva incrementa el riesgo de interrupción terapéutica, disminución de la adherencia a los tratamientos, progresión de la enfermedad y utilización de servicios de mayor complejidad. En consecuencia, la información analizada evidencia la necesidad de que la EPS y su operador farmacéutico implementen acciones correctivas orientadas a fortalecer los procesos de abastecimiento, seguimiento y cierre efectivo de pendientes, garantizando una respuesta oportuna a las necesidades farmacológicas de la población afiliada.</w:t>
      </w:r>
    </w:p>
    <w:p w14:paraId="2DC62360"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2547E554" w14:textId="77777777" w:rsidR="009F762E" w:rsidRPr="00242DFB" w:rsidRDefault="00000000" w:rsidP="005B2285">
      <w:pPr>
        <w:pStyle w:val="Ttulo2"/>
        <w:numPr>
          <w:ilvl w:val="1"/>
          <w:numId w:val="7"/>
        </w:numPr>
        <w:spacing w:before="0" w:line="360" w:lineRule="auto"/>
        <w:jc w:val="both"/>
        <w:rPr>
          <w:rFonts w:ascii="Arial" w:hAnsi="Arial" w:cs="Arial"/>
          <w:b/>
          <w:bCs/>
          <w:color w:val="000000"/>
          <w:sz w:val="24"/>
          <w:szCs w:val="24"/>
        </w:rPr>
      </w:pPr>
      <w:bookmarkStart w:id="105" w:name="_Toc233574850"/>
      <w:r w:rsidRPr="00242DFB">
        <w:rPr>
          <w:rFonts w:ascii="Arial" w:hAnsi="Arial" w:cs="Arial"/>
          <w:b/>
          <w:bCs/>
          <w:color w:val="000000"/>
          <w:sz w:val="24"/>
          <w:szCs w:val="24"/>
        </w:rPr>
        <w:t>Indicadores dispensación de medicamentos</w:t>
      </w:r>
      <w:bookmarkEnd w:id="105"/>
    </w:p>
    <w:p w14:paraId="52359DFB"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b/>
          <w:bCs/>
          <w:color w:val="000000"/>
        </w:rPr>
        <w:t xml:space="preserve"> </w:t>
      </w:r>
    </w:p>
    <w:p w14:paraId="6DFA978C" w14:textId="77777777" w:rsidR="009F762E" w:rsidRPr="00242DFB" w:rsidRDefault="00000000" w:rsidP="005B2285">
      <w:pPr>
        <w:spacing w:line="360" w:lineRule="auto"/>
        <w:jc w:val="both"/>
        <w:rPr>
          <w:rFonts w:ascii="Arial" w:hAnsi="Arial" w:cs="Arial"/>
          <w:color w:val="000000" w:themeColor="text1"/>
        </w:rPr>
      </w:pPr>
      <w:r w:rsidRPr="00242DFB">
        <w:rPr>
          <w:rFonts w:ascii="Arial" w:hAnsi="Arial" w:cs="Arial"/>
          <w:color w:val="000000"/>
        </w:rPr>
        <w:t xml:space="preserve">A continuación, se presenta el comportamiento mensual de los indicadores de dispensación de medicamentos reportados por Capital Salud EPS-S para la ciudad de Bogotá durante la vigencia 2025. Los indicadores analizados corresponden al tiempo de espera para la entrega de medicamentos incluidos en el Plan de Beneficios en Salud (PBS), el porcentaje de fórmulas médicas entregadas de </w:t>
      </w:r>
      <w:r w:rsidRPr="00242DFB">
        <w:rPr>
          <w:rFonts w:ascii="Arial" w:hAnsi="Arial" w:cs="Arial"/>
          <w:color w:val="000000"/>
        </w:rPr>
        <w:lastRenderedPageBreak/>
        <w:t>manera completa y el porcentaje de fórmulas médicas entregadas oportunamente. Estos indicadores constituyen herramientas fundamentales para evaluar el desempeño de la gestión farmacéutica, en la medida en que permiten valorar la capacidad de respuesta de la red de dispensación frente a las necesidades de la población afiliada y su incidencia sobre el acceso efectivo a los tratamientos prescritos.</w:t>
      </w:r>
    </w:p>
    <w:p w14:paraId="4194CF3E"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6DBE5687" w14:textId="201F9921" w:rsidR="002D7FF0" w:rsidRPr="00242DFB" w:rsidRDefault="002D7FF0" w:rsidP="005B2285">
      <w:pPr>
        <w:pStyle w:val="Descripcin"/>
        <w:keepNext/>
        <w:spacing w:after="0"/>
        <w:jc w:val="center"/>
        <w:rPr>
          <w:rFonts w:ascii="Arial" w:hAnsi="Arial" w:cs="Arial"/>
        </w:rPr>
      </w:pPr>
      <w:bookmarkStart w:id="106" w:name="_Toc233574884"/>
      <w:r w:rsidRPr="00242DFB">
        <w:rPr>
          <w:rFonts w:ascii="Arial" w:hAnsi="Arial" w:cs="Arial"/>
          <w:color w:val="000000" w:themeColor="text1"/>
          <w:sz w:val="24"/>
          <w:szCs w:val="24"/>
        </w:rPr>
        <w:t xml:space="preserve">Tabla </w:t>
      </w:r>
      <w:r w:rsidRPr="00242DFB">
        <w:rPr>
          <w:rFonts w:ascii="Arial" w:hAnsi="Arial" w:cs="Arial"/>
          <w:color w:val="000000" w:themeColor="text1"/>
          <w:sz w:val="24"/>
          <w:szCs w:val="24"/>
        </w:rPr>
        <w:fldChar w:fldCharType="begin"/>
      </w:r>
      <w:r w:rsidRPr="00242DFB">
        <w:rPr>
          <w:rFonts w:ascii="Arial" w:hAnsi="Arial" w:cs="Arial"/>
          <w:color w:val="000000" w:themeColor="text1"/>
          <w:sz w:val="24"/>
          <w:szCs w:val="24"/>
        </w:rPr>
        <w:instrText xml:space="preserve"> SEQ Tabla \* ARABIC </w:instrText>
      </w:r>
      <w:r w:rsidRPr="00242DFB">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24</w:t>
      </w:r>
      <w:r w:rsidRPr="00242DFB">
        <w:rPr>
          <w:rFonts w:ascii="Arial" w:hAnsi="Arial" w:cs="Arial"/>
          <w:color w:val="000000" w:themeColor="text1"/>
          <w:sz w:val="24"/>
          <w:szCs w:val="24"/>
        </w:rPr>
        <w:fldChar w:fldCharType="end"/>
      </w:r>
      <w:r w:rsidRPr="00242DFB">
        <w:rPr>
          <w:rFonts w:ascii="Arial" w:hAnsi="Arial" w:cs="Arial"/>
          <w:color w:val="000000" w:themeColor="text1"/>
          <w:sz w:val="24"/>
          <w:szCs w:val="24"/>
        </w:rPr>
        <w:t>. Comportamiento de indicadores de dispensación de medicamentos, Bogotá, 2025</w:t>
      </w:r>
      <w:bookmarkEnd w:id="106"/>
    </w:p>
    <w:tbl>
      <w:tblPr>
        <w:tblW w:w="10667" w:type="dxa"/>
        <w:tblInd w:w="-861" w:type="dxa"/>
        <w:tblLayout w:type="fixed"/>
        <w:tblCellMar>
          <w:left w:w="70" w:type="dxa"/>
          <w:right w:w="70" w:type="dxa"/>
        </w:tblCellMar>
        <w:tblLook w:val="06A0" w:firstRow="1" w:lastRow="0" w:firstColumn="1" w:lastColumn="0" w:noHBand="1" w:noVBand="1"/>
      </w:tblPr>
      <w:tblGrid>
        <w:gridCol w:w="709"/>
        <w:gridCol w:w="1759"/>
        <w:gridCol w:w="683"/>
        <w:gridCol w:w="682"/>
        <w:gridCol w:w="683"/>
        <w:gridCol w:w="682"/>
        <w:gridCol w:w="683"/>
        <w:gridCol w:w="682"/>
        <w:gridCol w:w="682"/>
        <w:gridCol w:w="682"/>
        <w:gridCol w:w="684"/>
        <w:gridCol w:w="682"/>
        <w:gridCol w:w="682"/>
        <w:gridCol w:w="682"/>
        <w:gridCol w:w="10"/>
      </w:tblGrid>
      <w:tr w:rsidR="009F762E" w:rsidRPr="00242DFB" w14:paraId="68616775" w14:textId="77777777" w:rsidTr="002D7FF0">
        <w:trPr>
          <w:cantSplit/>
          <w:trHeight w:val="60"/>
        </w:trPr>
        <w:tc>
          <w:tcPr>
            <w:tcW w:w="10667" w:type="dxa"/>
            <w:gridSpan w:val="15"/>
            <w:tcBorders>
              <w:top w:val="single" w:sz="8" w:space="0" w:color="000000"/>
              <w:left w:val="single" w:sz="8" w:space="0" w:color="000000"/>
              <w:bottom w:val="single" w:sz="8" w:space="0" w:color="000000"/>
              <w:right w:val="single" w:sz="8" w:space="0" w:color="000000"/>
            </w:tcBorders>
            <w:vAlign w:val="center"/>
          </w:tcPr>
          <w:p w14:paraId="08A2CB64"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COMPORTAMIENTO INDICADORES DE DISPENSACION DE MEDICAMENTOS</w:t>
            </w:r>
          </w:p>
        </w:tc>
      </w:tr>
      <w:tr w:rsidR="009F762E" w:rsidRPr="00242DFB" w14:paraId="3738A1D4" w14:textId="77777777" w:rsidTr="002D7FF0">
        <w:trPr>
          <w:cantSplit/>
          <w:trHeight w:val="126"/>
        </w:trPr>
        <w:tc>
          <w:tcPr>
            <w:tcW w:w="2468" w:type="dxa"/>
            <w:gridSpan w:val="2"/>
            <w:tcBorders>
              <w:top w:val="single" w:sz="8" w:space="0" w:color="000000"/>
              <w:left w:val="single" w:sz="8" w:space="0" w:color="000000"/>
              <w:bottom w:val="single" w:sz="8" w:space="0" w:color="000000"/>
              <w:right w:val="single" w:sz="8" w:space="0" w:color="000000"/>
            </w:tcBorders>
            <w:vAlign w:val="center"/>
          </w:tcPr>
          <w:p w14:paraId="7BCAF32E"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INDICADORES</w:t>
            </w:r>
          </w:p>
        </w:tc>
        <w:tc>
          <w:tcPr>
            <w:tcW w:w="8199" w:type="dxa"/>
            <w:gridSpan w:val="13"/>
            <w:tcBorders>
              <w:bottom w:val="single" w:sz="8" w:space="0" w:color="000000"/>
              <w:right w:val="single" w:sz="8" w:space="0" w:color="000000"/>
            </w:tcBorders>
            <w:vAlign w:val="center"/>
          </w:tcPr>
          <w:p w14:paraId="33E01955"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PERIODO OBJETO DE REPORTE</w:t>
            </w:r>
          </w:p>
        </w:tc>
      </w:tr>
      <w:tr w:rsidR="009F762E" w:rsidRPr="00242DFB" w14:paraId="0CF43244" w14:textId="77777777" w:rsidTr="002D7FF0">
        <w:trPr>
          <w:gridAfter w:val="1"/>
          <w:wAfter w:w="10" w:type="dxa"/>
          <w:cantSplit/>
          <w:trHeight w:val="410"/>
        </w:trPr>
        <w:tc>
          <w:tcPr>
            <w:tcW w:w="709" w:type="dxa"/>
            <w:tcBorders>
              <w:top w:val="single" w:sz="8" w:space="0" w:color="000000"/>
              <w:left w:val="single" w:sz="8" w:space="0" w:color="000000"/>
              <w:bottom w:val="single" w:sz="8" w:space="0" w:color="000000"/>
              <w:right w:val="single" w:sz="8" w:space="0" w:color="000000"/>
            </w:tcBorders>
            <w:vAlign w:val="center"/>
          </w:tcPr>
          <w:p w14:paraId="12A51497"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COD.</w:t>
            </w:r>
          </w:p>
        </w:tc>
        <w:tc>
          <w:tcPr>
            <w:tcW w:w="1759" w:type="dxa"/>
            <w:tcBorders>
              <w:left w:val="single" w:sz="8" w:space="0" w:color="000000"/>
              <w:bottom w:val="single" w:sz="8" w:space="0" w:color="000000"/>
              <w:right w:val="single" w:sz="8" w:space="0" w:color="000000"/>
            </w:tcBorders>
            <w:vAlign w:val="center"/>
          </w:tcPr>
          <w:p w14:paraId="62139EC6"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DESCRIPCION DEL INDICADOR</w:t>
            </w:r>
          </w:p>
        </w:tc>
        <w:tc>
          <w:tcPr>
            <w:tcW w:w="683" w:type="dxa"/>
            <w:tcBorders>
              <w:top w:val="single" w:sz="8" w:space="0" w:color="000000"/>
              <w:left w:val="single" w:sz="8" w:space="0" w:color="000000"/>
              <w:bottom w:val="single" w:sz="8" w:space="0" w:color="000000"/>
              <w:right w:val="single" w:sz="8" w:space="0" w:color="000000"/>
            </w:tcBorders>
            <w:vAlign w:val="center"/>
          </w:tcPr>
          <w:p w14:paraId="25BEFB6E"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ene-25</w:t>
            </w:r>
          </w:p>
        </w:tc>
        <w:tc>
          <w:tcPr>
            <w:tcW w:w="682" w:type="dxa"/>
            <w:tcBorders>
              <w:left w:val="single" w:sz="8" w:space="0" w:color="000000"/>
              <w:bottom w:val="single" w:sz="8" w:space="0" w:color="000000"/>
              <w:right w:val="single" w:sz="8" w:space="0" w:color="000000"/>
            </w:tcBorders>
            <w:vAlign w:val="center"/>
          </w:tcPr>
          <w:p w14:paraId="2AC07B36"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feb-25</w:t>
            </w:r>
          </w:p>
        </w:tc>
        <w:tc>
          <w:tcPr>
            <w:tcW w:w="683" w:type="dxa"/>
            <w:tcBorders>
              <w:left w:val="single" w:sz="8" w:space="0" w:color="000000"/>
              <w:bottom w:val="single" w:sz="8" w:space="0" w:color="000000"/>
              <w:right w:val="single" w:sz="8" w:space="0" w:color="000000"/>
            </w:tcBorders>
            <w:vAlign w:val="center"/>
          </w:tcPr>
          <w:p w14:paraId="35438EB3"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mar-25</w:t>
            </w:r>
          </w:p>
        </w:tc>
        <w:tc>
          <w:tcPr>
            <w:tcW w:w="682" w:type="dxa"/>
            <w:tcBorders>
              <w:left w:val="single" w:sz="8" w:space="0" w:color="000000"/>
              <w:bottom w:val="single" w:sz="8" w:space="0" w:color="000000"/>
              <w:right w:val="single" w:sz="8" w:space="0" w:color="000000"/>
            </w:tcBorders>
            <w:vAlign w:val="center"/>
          </w:tcPr>
          <w:p w14:paraId="7BC638D3"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abr-25</w:t>
            </w:r>
          </w:p>
        </w:tc>
        <w:tc>
          <w:tcPr>
            <w:tcW w:w="683" w:type="dxa"/>
            <w:tcBorders>
              <w:left w:val="single" w:sz="8" w:space="0" w:color="000000"/>
              <w:bottom w:val="single" w:sz="8" w:space="0" w:color="000000"/>
              <w:right w:val="single" w:sz="8" w:space="0" w:color="000000"/>
            </w:tcBorders>
            <w:vAlign w:val="center"/>
          </w:tcPr>
          <w:p w14:paraId="7E7EE1A5"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may-25</w:t>
            </w:r>
          </w:p>
        </w:tc>
        <w:tc>
          <w:tcPr>
            <w:tcW w:w="682" w:type="dxa"/>
            <w:tcBorders>
              <w:left w:val="single" w:sz="8" w:space="0" w:color="000000"/>
              <w:bottom w:val="single" w:sz="8" w:space="0" w:color="000000"/>
              <w:right w:val="single" w:sz="8" w:space="0" w:color="000000"/>
            </w:tcBorders>
            <w:vAlign w:val="center"/>
          </w:tcPr>
          <w:p w14:paraId="64A385D4"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jun-25</w:t>
            </w:r>
          </w:p>
        </w:tc>
        <w:tc>
          <w:tcPr>
            <w:tcW w:w="682" w:type="dxa"/>
            <w:tcBorders>
              <w:left w:val="single" w:sz="8" w:space="0" w:color="000000"/>
              <w:bottom w:val="single" w:sz="8" w:space="0" w:color="000000"/>
              <w:right w:val="single" w:sz="8" w:space="0" w:color="000000"/>
            </w:tcBorders>
            <w:vAlign w:val="center"/>
          </w:tcPr>
          <w:p w14:paraId="7051FED6"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jul-25</w:t>
            </w:r>
          </w:p>
        </w:tc>
        <w:tc>
          <w:tcPr>
            <w:tcW w:w="682" w:type="dxa"/>
            <w:tcBorders>
              <w:left w:val="single" w:sz="8" w:space="0" w:color="000000"/>
              <w:bottom w:val="single" w:sz="8" w:space="0" w:color="000000"/>
              <w:right w:val="single" w:sz="8" w:space="0" w:color="000000"/>
            </w:tcBorders>
            <w:vAlign w:val="center"/>
          </w:tcPr>
          <w:p w14:paraId="14AA5C5E"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ago-25</w:t>
            </w:r>
          </w:p>
        </w:tc>
        <w:tc>
          <w:tcPr>
            <w:tcW w:w="684" w:type="dxa"/>
            <w:tcBorders>
              <w:left w:val="single" w:sz="8" w:space="0" w:color="000000"/>
              <w:bottom w:val="single" w:sz="8" w:space="0" w:color="000000"/>
              <w:right w:val="single" w:sz="8" w:space="0" w:color="000000"/>
            </w:tcBorders>
            <w:vAlign w:val="center"/>
          </w:tcPr>
          <w:p w14:paraId="66A6491A"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sept-25</w:t>
            </w:r>
          </w:p>
        </w:tc>
        <w:tc>
          <w:tcPr>
            <w:tcW w:w="682" w:type="dxa"/>
            <w:tcBorders>
              <w:left w:val="single" w:sz="8" w:space="0" w:color="000000"/>
              <w:bottom w:val="single" w:sz="8" w:space="0" w:color="000000"/>
              <w:right w:val="single" w:sz="8" w:space="0" w:color="000000"/>
            </w:tcBorders>
            <w:vAlign w:val="center"/>
          </w:tcPr>
          <w:p w14:paraId="144F6B2D"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oct-25</w:t>
            </w:r>
          </w:p>
        </w:tc>
        <w:tc>
          <w:tcPr>
            <w:tcW w:w="682" w:type="dxa"/>
            <w:tcBorders>
              <w:left w:val="single" w:sz="8" w:space="0" w:color="000000"/>
              <w:bottom w:val="single" w:sz="8" w:space="0" w:color="000000"/>
              <w:right w:val="single" w:sz="8" w:space="0" w:color="000000"/>
            </w:tcBorders>
            <w:vAlign w:val="center"/>
          </w:tcPr>
          <w:p w14:paraId="45CF5312"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nov-25</w:t>
            </w:r>
          </w:p>
        </w:tc>
        <w:tc>
          <w:tcPr>
            <w:tcW w:w="682" w:type="dxa"/>
            <w:tcBorders>
              <w:left w:val="single" w:sz="8" w:space="0" w:color="000000"/>
              <w:bottom w:val="single" w:sz="8" w:space="0" w:color="000000"/>
              <w:right w:val="single" w:sz="8" w:space="0" w:color="000000"/>
            </w:tcBorders>
            <w:vAlign w:val="center"/>
          </w:tcPr>
          <w:p w14:paraId="3DB2BC72"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b/>
                <w:bCs/>
                <w:color w:val="000000" w:themeColor="text1"/>
                <w:sz w:val="20"/>
                <w:szCs w:val="20"/>
              </w:rPr>
              <w:t>dic-25</w:t>
            </w:r>
          </w:p>
        </w:tc>
      </w:tr>
      <w:tr w:rsidR="009F762E" w:rsidRPr="00242DFB" w14:paraId="0A2F13F5" w14:textId="77777777" w:rsidTr="002D7FF0">
        <w:trPr>
          <w:gridAfter w:val="1"/>
          <w:wAfter w:w="10" w:type="dxa"/>
          <w:cantSplit/>
          <w:trHeight w:val="425"/>
        </w:trPr>
        <w:tc>
          <w:tcPr>
            <w:tcW w:w="709" w:type="dxa"/>
            <w:tcBorders>
              <w:top w:val="single" w:sz="8" w:space="0" w:color="000000"/>
              <w:left w:val="single" w:sz="8" w:space="0" w:color="000000"/>
              <w:bottom w:val="single" w:sz="8" w:space="0" w:color="000000"/>
              <w:right w:val="single" w:sz="8" w:space="0" w:color="000000"/>
            </w:tcBorders>
            <w:vAlign w:val="center"/>
          </w:tcPr>
          <w:p w14:paraId="0F390DCF"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color w:val="000000" w:themeColor="text1"/>
                <w:sz w:val="20"/>
                <w:szCs w:val="20"/>
              </w:rPr>
              <w:t>A14</w:t>
            </w:r>
          </w:p>
        </w:tc>
        <w:tc>
          <w:tcPr>
            <w:tcW w:w="1759" w:type="dxa"/>
            <w:tcBorders>
              <w:top w:val="single" w:sz="8" w:space="0" w:color="000000"/>
              <w:left w:val="single" w:sz="8" w:space="0" w:color="000000"/>
              <w:bottom w:val="single" w:sz="8" w:space="0" w:color="000000"/>
              <w:right w:val="single" w:sz="8" w:space="0" w:color="000000"/>
            </w:tcBorders>
            <w:vAlign w:val="center"/>
          </w:tcPr>
          <w:p w14:paraId="1AD36D08" w14:textId="77777777" w:rsidR="009F762E" w:rsidRPr="00242DFB" w:rsidRDefault="00000000" w:rsidP="005B2285">
            <w:pPr>
              <w:spacing w:line="360" w:lineRule="auto"/>
              <w:jc w:val="both"/>
              <w:rPr>
                <w:rFonts w:ascii="Arial" w:hAnsi="Arial" w:cs="Arial"/>
                <w:color w:val="000000" w:themeColor="text1"/>
                <w:sz w:val="20"/>
                <w:szCs w:val="20"/>
              </w:rPr>
            </w:pPr>
            <w:r w:rsidRPr="00242DFB">
              <w:rPr>
                <w:rFonts w:ascii="Arial" w:eastAsia="Arial" w:hAnsi="Arial" w:cs="Arial"/>
                <w:color w:val="000000" w:themeColor="text1"/>
                <w:sz w:val="20"/>
                <w:szCs w:val="20"/>
              </w:rPr>
              <w:t>Tiempo de espera, para la entrega de medicamentos incluidos en el Plan de Beneficios en Salud (PBS)</w:t>
            </w:r>
          </w:p>
        </w:tc>
        <w:tc>
          <w:tcPr>
            <w:tcW w:w="683" w:type="dxa"/>
            <w:tcBorders>
              <w:top w:val="single" w:sz="8" w:space="0" w:color="000000"/>
              <w:left w:val="single" w:sz="8" w:space="0" w:color="000000"/>
              <w:bottom w:val="single" w:sz="8" w:space="0" w:color="000000"/>
              <w:right w:val="single" w:sz="8" w:space="0" w:color="000000"/>
            </w:tcBorders>
            <w:vAlign w:val="center"/>
          </w:tcPr>
          <w:p w14:paraId="3C0A938A"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1,25</w:t>
            </w:r>
          </w:p>
          <w:p w14:paraId="7CCAE17B"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0E392F69" w14:textId="53949D8E"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1,35 días</w:t>
            </w:r>
          </w:p>
        </w:tc>
        <w:tc>
          <w:tcPr>
            <w:tcW w:w="683" w:type="dxa"/>
            <w:tcBorders>
              <w:top w:val="single" w:sz="8" w:space="0" w:color="000000"/>
              <w:left w:val="single" w:sz="8" w:space="0" w:color="000000"/>
              <w:bottom w:val="single" w:sz="8" w:space="0" w:color="000000"/>
              <w:right w:val="single" w:sz="8" w:space="0" w:color="000000"/>
            </w:tcBorders>
            <w:vAlign w:val="center"/>
          </w:tcPr>
          <w:p w14:paraId="42DC8F35"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1,47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226EC9B5"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1,28 días</w:t>
            </w:r>
          </w:p>
        </w:tc>
        <w:tc>
          <w:tcPr>
            <w:tcW w:w="683" w:type="dxa"/>
            <w:tcBorders>
              <w:top w:val="single" w:sz="8" w:space="0" w:color="000000"/>
              <w:left w:val="single" w:sz="8" w:space="0" w:color="000000"/>
              <w:bottom w:val="single" w:sz="8" w:space="0" w:color="000000"/>
              <w:right w:val="single" w:sz="8" w:space="0" w:color="000000"/>
            </w:tcBorders>
            <w:vAlign w:val="center"/>
          </w:tcPr>
          <w:p w14:paraId="0F3CFC59"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1,36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31A9A2C6"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1,28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53D6417F"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1,35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5D9B8E7C"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1,18 días</w:t>
            </w:r>
          </w:p>
        </w:tc>
        <w:tc>
          <w:tcPr>
            <w:tcW w:w="684" w:type="dxa"/>
            <w:tcBorders>
              <w:top w:val="single" w:sz="8" w:space="0" w:color="000000"/>
              <w:left w:val="single" w:sz="8" w:space="0" w:color="000000"/>
              <w:bottom w:val="single" w:sz="8" w:space="0" w:color="000000"/>
              <w:right w:val="single" w:sz="8" w:space="0" w:color="000000"/>
            </w:tcBorders>
            <w:vAlign w:val="center"/>
          </w:tcPr>
          <w:p w14:paraId="33B613B9"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1,46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6B1F7087"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0,64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302CE075"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0,61 días</w:t>
            </w:r>
          </w:p>
        </w:tc>
        <w:tc>
          <w:tcPr>
            <w:tcW w:w="682" w:type="dxa"/>
            <w:tcBorders>
              <w:top w:val="single" w:sz="8" w:space="0" w:color="000000"/>
              <w:left w:val="single" w:sz="8" w:space="0" w:color="000000"/>
              <w:bottom w:val="single" w:sz="8" w:space="0" w:color="000000"/>
              <w:right w:val="single" w:sz="8" w:space="0" w:color="000000"/>
            </w:tcBorders>
            <w:vAlign w:val="center"/>
          </w:tcPr>
          <w:p w14:paraId="44ABB442"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0,19 días</w:t>
            </w:r>
          </w:p>
        </w:tc>
      </w:tr>
      <w:tr w:rsidR="009F762E" w:rsidRPr="00242DFB" w14:paraId="651E4349" w14:textId="77777777" w:rsidTr="002D7FF0">
        <w:trPr>
          <w:gridAfter w:val="1"/>
          <w:wAfter w:w="10" w:type="dxa"/>
          <w:cantSplit/>
          <w:trHeight w:val="410"/>
        </w:trPr>
        <w:tc>
          <w:tcPr>
            <w:tcW w:w="709" w:type="dxa"/>
            <w:tcBorders>
              <w:top w:val="single" w:sz="8" w:space="0" w:color="000000"/>
              <w:left w:val="single" w:sz="8" w:space="0" w:color="000000"/>
              <w:bottom w:val="single" w:sz="8" w:space="0" w:color="000000"/>
              <w:right w:val="single" w:sz="8" w:space="0" w:color="000000"/>
            </w:tcBorders>
            <w:vAlign w:val="center"/>
          </w:tcPr>
          <w:p w14:paraId="4B1D5886"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color w:val="000000" w:themeColor="text1"/>
                <w:sz w:val="20"/>
                <w:szCs w:val="20"/>
              </w:rPr>
              <w:t>A15</w:t>
            </w:r>
          </w:p>
        </w:tc>
        <w:tc>
          <w:tcPr>
            <w:tcW w:w="1759" w:type="dxa"/>
            <w:tcBorders>
              <w:top w:val="single" w:sz="8" w:space="0" w:color="000000"/>
              <w:left w:val="single" w:sz="8" w:space="0" w:color="000000"/>
              <w:bottom w:val="single" w:sz="8" w:space="0" w:color="000000"/>
              <w:right w:val="single" w:sz="8" w:space="0" w:color="000000"/>
            </w:tcBorders>
            <w:vAlign w:val="center"/>
          </w:tcPr>
          <w:p w14:paraId="3FD9E133" w14:textId="77777777" w:rsidR="009F762E" w:rsidRPr="00242DFB" w:rsidRDefault="00000000" w:rsidP="005B2285">
            <w:pPr>
              <w:spacing w:line="360" w:lineRule="auto"/>
              <w:jc w:val="both"/>
              <w:rPr>
                <w:rFonts w:ascii="Arial" w:hAnsi="Arial" w:cs="Arial"/>
                <w:color w:val="000000" w:themeColor="text1"/>
                <w:sz w:val="20"/>
                <w:szCs w:val="20"/>
              </w:rPr>
            </w:pPr>
            <w:r w:rsidRPr="00242DFB">
              <w:rPr>
                <w:rFonts w:ascii="Arial" w:eastAsia="Arial" w:hAnsi="Arial" w:cs="Arial"/>
                <w:color w:val="000000" w:themeColor="text1"/>
                <w:sz w:val="20"/>
                <w:szCs w:val="20"/>
              </w:rPr>
              <w:t>Porcentaje de fórmulas médicas entregadas de manera completa</w:t>
            </w:r>
          </w:p>
        </w:tc>
        <w:tc>
          <w:tcPr>
            <w:tcW w:w="683" w:type="dxa"/>
            <w:tcBorders>
              <w:top w:val="single" w:sz="8" w:space="0" w:color="000000"/>
              <w:left w:val="single" w:sz="8" w:space="0" w:color="000000"/>
              <w:bottom w:val="single" w:sz="8" w:space="0" w:color="000000"/>
              <w:right w:val="single" w:sz="8" w:space="0" w:color="000000"/>
            </w:tcBorders>
            <w:vAlign w:val="center"/>
          </w:tcPr>
          <w:p w14:paraId="24A1372C"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93,1%</w:t>
            </w:r>
          </w:p>
        </w:tc>
        <w:tc>
          <w:tcPr>
            <w:tcW w:w="682" w:type="dxa"/>
            <w:tcBorders>
              <w:top w:val="single" w:sz="8" w:space="0" w:color="000000"/>
              <w:left w:val="single" w:sz="8" w:space="0" w:color="000000"/>
              <w:bottom w:val="single" w:sz="8" w:space="0" w:color="000000"/>
              <w:right w:val="single" w:sz="8" w:space="0" w:color="000000"/>
            </w:tcBorders>
            <w:vAlign w:val="center"/>
          </w:tcPr>
          <w:p w14:paraId="57CE5E10"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91,2%</w:t>
            </w:r>
          </w:p>
        </w:tc>
        <w:tc>
          <w:tcPr>
            <w:tcW w:w="683" w:type="dxa"/>
            <w:tcBorders>
              <w:top w:val="single" w:sz="8" w:space="0" w:color="000000"/>
              <w:left w:val="single" w:sz="8" w:space="0" w:color="000000"/>
              <w:bottom w:val="single" w:sz="8" w:space="0" w:color="000000"/>
              <w:right w:val="single" w:sz="8" w:space="0" w:color="000000"/>
            </w:tcBorders>
            <w:vAlign w:val="center"/>
          </w:tcPr>
          <w:p w14:paraId="22FB65CE"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93,8%</w:t>
            </w:r>
          </w:p>
        </w:tc>
        <w:tc>
          <w:tcPr>
            <w:tcW w:w="682" w:type="dxa"/>
            <w:tcBorders>
              <w:top w:val="single" w:sz="8" w:space="0" w:color="000000"/>
              <w:left w:val="single" w:sz="8" w:space="0" w:color="000000"/>
              <w:bottom w:val="single" w:sz="8" w:space="0" w:color="000000"/>
              <w:right w:val="single" w:sz="8" w:space="0" w:color="000000"/>
            </w:tcBorders>
            <w:vAlign w:val="center"/>
          </w:tcPr>
          <w:p w14:paraId="217D4915"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89,0%</w:t>
            </w:r>
          </w:p>
        </w:tc>
        <w:tc>
          <w:tcPr>
            <w:tcW w:w="683" w:type="dxa"/>
            <w:tcBorders>
              <w:top w:val="single" w:sz="8" w:space="0" w:color="000000"/>
              <w:left w:val="single" w:sz="8" w:space="0" w:color="000000"/>
              <w:bottom w:val="single" w:sz="8" w:space="0" w:color="000000"/>
              <w:right w:val="single" w:sz="8" w:space="0" w:color="000000"/>
            </w:tcBorders>
            <w:vAlign w:val="center"/>
          </w:tcPr>
          <w:p w14:paraId="5E697BC6"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90,2%</w:t>
            </w:r>
          </w:p>
        </w:tc>
        <w:tc>
          <w:tcPr>
            <w:tcW w:w="682" w:type="dxa"/>
            <w:tcBorders>
              <w:top w:val="single" w:sz="8" w:space="0" w:color="000000"/>
              <w:left w:val="single" w:sz="8" w:space="0" w:color="000000"/>
              <w:bottom w:val="single" w:sz="8" w:space="0" w:color="000000"/>
              <w:right w:val="single" w:sz="8" w:space="0" w:color="000000"/>
            </w:tcBorders>
            <w:vAlign w:val="center"/>
          </w:tcPr>
          <w:p w14:paraId="0FBE5045"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93,4%</w:t>
            </w:r>
          </w:p>
        </w:tc>
        <w:tc>
          <w:tcPr>
            <w:tcW w:w="682" w:type="dxa"/>
            <w:tcBorders>
              <w:top w:val="single" w:sz="8" w:space="0" w:color="000000"/>
              <w:left w:val="single" w:sz="8" w:space="0" w:color="000000"/>
              <w:bottom w:val="single" w:sz="8" w:space="0" w:color="000000"/>
              <w:right w:val="single" w:sz="8" w:space="0" w:color="000000"/>
            </w:tcBorders>
            <w:vAlign w:val="center"/>
          </w:tcPr>
          <w:p w14:paraId="131A2BC7"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93,4%</w:t>
            </w:r>
          </w:p>
        </w:tc>
        <w:tc>
          <w:tcPr>
            <w:tcW w:w="682" w:type="dxa"/>
            <w:tcBorders>
              <w:top w:val="single" w:sz="8" w:space="0" w:color="000000"/>
              <w:left w:val="single" w:sz="8" w:space="0" w:color="000000"/>
              <w:bottom w:val="single" w:sz="8" w:space="0" w:color="000000"/>
              <w:right w:val="single" w:sz="8" w:space="0" w:color="000000"/>
            </w:tcBorders>
            <w:vAlign w:val="center"/>
          </w:tcPr>
          <w:p w14:paraId="6E0E3A6C"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93,6%</w:t>
            </w:r>
          </w:p>
        </w:tc>
        <w:tc>
          <w:tcPr>
            <w:tcW w:w="684" w:type="dxa"/>
            <w:tcBorders>
              <w:top w:val="single" w:sz="8" w:space="0" w:color="000000"/>
              <w:left w:val="single" w:sz="8" w:space="0" w:color="000000"/>
              <w:bottom w:val="single" w:sz="8" w:space="0" w:color="000000"/>
              <w:right w:val="single" w:sz="8" w:space="0" w:color="000000"/>
            </w:tcBorders>
            <w:vAlign w:val="center"/>
          </w:tcPr>
          <w:p w14:paraId="32E425DD"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93,8%</w:t>
            </w:r>
          </w:p>
        </w:tc>
        <w:tc>
          <w:tcPr>
            <w:tcW w:w="682" w:type="dxa"/>
            <w:tcBorders>
              <w:top w:val="single" w:sz="8" w:space="0" w:color="000000"/>
              <w:left w:val="single" w:sz="8" w:space="0" w:color="000000"/>
              <w:bottom w:val="single" w:sz="8" w:space="0" w:color="000000"/>
              <w:right w:val="single" w:sz="8" w:space="0" w:color="000000"/>
            </w:tcBorders>
            <w:vAlign w:val="center"/>
          </w:tcPr>
          <w:p w14:paraId="758D6706"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94,4%</w:t>
            </w:r>
          </w:p>
        </w:tc>
        <w:tc>
          <w:tcPr>
            <w:tcW w:w="682" w:type="dxa"/>
            <w:tcBorders>
              <w:top w:val="single" w:sz="8" w:space="0" w:color="000000"/>
              <w:left w:val="single" w:sz="8" w:space="0" w:color="000000"/>
              <w:bottom w:val="single" w:sz="8" w:space="0" w:color="000000"/>
              <w:right w:val="single" w:sz="8" w:space="0" w:color="000000"/>
            </w:tcBorders>
            <w:vAlign w:val="center"/>
          </w:tcPr>
          <w:p w14:paraId="4CB645EB"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96,8%</w:t>
            </w:r>
          </w:p>
        </w:tc>
        <w:tc>
          <w:tcPr>
            <w:tcW w:w="682" w:type="dxa"/>
            <w:tcBorders>
              <w:top w:val="single" w:sz="8" w:space="0" w:color="000000"/>
              <w:left w:val="single" w:sz="8" w:space="0" w:color="000000"/>
              <w:bottom w:val="single" w:sz="8" w:space="0" w:color="000000"/>
              <w:right w:val="single" w:sz="8" w:space="0" w:color="000000"/>
            </w:tcBorders>
            <w:vAlign w:val="center"/>
          </w:tcPr>
          <w:p w14:paraId="07A52237"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96,6%</w:t>
            </w:r>
          </w:p>
        </w:tc>
      </w:tr>
      <w:tr w:rsidR="009F762E" w:rsidRPr="00242DFB" w14:paraId="4FAD37B1" w14:textId="77777777" w:rsidTr="002D7FF0">
        <w:trPr>
          <w:gridAfter w:val="1"/>
          <w:wAfter w:w="10" w:type="dxa"/>
          <w:cantSplit/>
          <w:trHeight w:val="410"/>
        </w:trPr>
        <w:tc>
          <w:tcPr>
            <w:tcW w:w="709" w:type="dxa"/>
            <w:tcBorders>
              <w:top w:val="single" w:sz="8" w:space="0" w:color="000000"/>
              <w:left w:val="single" w:sz="8" w:space="0" w:color="000000"/>
              <w:bottom w:val="single" w:sz="8" w:space="0" w:color="000000"/>
              <w:right w:val="single" w:sz="8" w:space="0" w:color="000000"/>
            </w:tcBorders>
            <w:vAlign w:val="center"/>
          </w:tcPr>
          <w:p w14:paraId="55084745" w14:textId="77777777" w:rsidR="009F762E" w:rsidRPr="00242DFB" w:rsidRDefault="00000000" w:rsidP="005B2285">
            <w:pPr>
              <w:spacing w:line="360" w:lineRule="auto"/>
              <w:jc w:val="center"/>
              <w:rPr>
                <w:rFonts w:ascii="Arial" w:hAnsi="Arial" w:cs="Arial"/>
                <w:color w:val="000000" w:themeColor="text1"/>
                <w:sz w:val="20"/>
                <w:szCs w:val="20"/>
              </w:rPr>
            </w:pPr>
            <w:r w:rsidRPr="00242DFB">
              <w:rPr>
                <w:rFonts w:ascii="Arial" w:eastAsia="Arial" w:hAnsi="Arial" w:cs="Arial"/>
                <w:color w:val="000000" w:themeColor="text1"/>
                <w:sz w:val="20"/>
                <w:szCs w:val="20"/>
              </w:rPr>
              <w:t>A16</w:t>
            </w:r>
          </w:p>
        </w:tc>
        <w:tc>
          <w:tcPr>
            <w:tcW w:w="1759" w:type="dxa"/>
            <w:tcBorders>
              <w:top w:val="single" w:sz="8" w:space="0" w:color="000000"/>
              <w:left w:val="single" w:sz="8" w:space="0" w:color="000000"/>
              <w:bottom w:val="single" w:sz="8" w:space="0" w:color="000000"/>
              <w:right w:val="single" w:sz="8" w:space="0" w:color="000000"/>
            </w:tcBorders>
            <w:vAlign w:val="center"/>
          </w:tcPr>
          <w:p w14:paraId="39A316A8" w14:textId="77777777" w:rsidR="009F762E" w:rsidRPr="00242DFB" w:rsidRDefault="00000000" w:rsidP="005B2285">
            <w:pPr>
              <w:spacing w:line="360" w:lineRule="auto"/>
              <w:jc w:val="both"/>
              <w:rPr>
                <w:rFonts w:ascii="Arial" w:hAnsi="Arial" w:cs="Arial"/>
                <w:color w:val="000000" w:themeColor="text1"/>
                <w:sz w:val="20"/>
                <w:szCs w:val="20"/>
              </w:rPr>
            </w:pPr>
            <w:r w:rsidRPr="00242DFB">
              <w:rPr>
                <w:rFonts w:ascii="Arial" w:eastAsia="Arial" w:hAnsi="Arial" w:cs="Arial"/>
                <w:color w:val="000000" w:themeColor="text1"/>
                <w:sz w:val="20"/>
                <w:szCs w:val="20"/>
              </w:rPr>
              <w:t>Porcentaje de fórmulas médicas entregadas de manera oportuna</w:t>
            </w:r>
          </w:p>
        </w:tc>
        <w:tc>
          <w:tcPr>
            <w:tcW w:w="683" w:type="dxa"/>
            <w:tcBorders>
              <w:top w:val="single" w:sz="8" w:space="0" w:color="000000"/>
              <w:left w:val="single" w:sz="8" w:space="0" w:color="000000"/>
              <w:bottom w:val="single" w:sz="8" w:space="0" w:color="000000"/>
              <w:right w:val="single" w:sz="8" w:space="0" w:color="000000"/>
            </w:tcBorders>
            <w:vAlign w:val="center"/>
          </w:tcPr>
          <w:p w14:paraId="40A8F6C9"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94,3%</w:t>
            </w:r>
          </w:p>
        </w:tc>
        <w:tc>
          <w:tcPr>
            <w:tcW w:w="682" w:type="dxa"/>
            <w:tcBorders>
              <w:top w:val="single" w:sz="8" w:space="0" w:color="000000"/>
              <w:left w:val="single" w:sz="8" w:space="0" w:color="000000"/>
              <w:bottom w:val="single" w:sz="8" w:space="0" w:color="000000"/>
              <w:right w:val="single" w:sz="8" w:space="0" w:color="000000"/>
            </w:tcBorders>
            <w:vAlign w:val="center"/>
          </w:tcPr>
          <w:p w14:paraId="2D104900"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93,9%</w:t>
            </w:r>
          </w:p>
        </w:tc>
        <w:tc>
          <w:tcPr>
            <w:tcW w:w="683" w:type="dxa"/>
            <w:tcBorders>
              <w:top w:val="single" w:sz="8" w:space="0" w:color="000000"/>
              <w:left w:val="single" w:sz="8" w:space="0" w:color="000000"/>
              <w:bottom w:val="single" w:sz="8" w:space="0" w:color="000000"/>
              <w:right w:val="single" w:sz="8" w:space="0" w:color="000000"/>
            </w:tcBorders>
            <w:vAlign w:val="center"/>
          </w:tcPr>
          <w:p w14:paraId="64CD3F84"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96,4%</w:t>
            </w:r>
          </w:p>
        </w:tc>
        <w:tc>
          <w:tcPr>
            <w:tcW w:w="682" w:type="dxa"/>
            <w:tcBorders>
              <w:top w:val="single" w:sz="8" w:space="0" w:color="000000"/>
              <w:left w:val="single" w:sz="8" w:space="0" w:color="000000"/>
              <w:bottom w:val="single" w:sz="8" w:space="0" w:color="000000"/>
              <w:right w:val="single" w:sz="8" w:space="0" w:color="000000"/>
            </w:tcBorders>
            <w:vAlign w:val="center"/>
          </w:tcPr>
          <w:p w14:paraId="310AA5D6"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92,1%</w:t>
            </w:r>
          </w:p>
        </w:tc>
        <w:tc>
          <w:tcPr>
            <w:tcW w:w="683" w:type="dxa"/>
            <w:tcBorders>
              <w:top w:val="single" w:sz="8" w:space="0" w:color="000000"/>
              <w:left w:val="single" w:sz="8" w:space="0" w:color="000000"/>
              <w:bottom w:val="single" w:sz="8" w:space="0" w:color="000000"/>
              <w:right w:val="single" w:sz="8" w:space="0" w:color="000000"/>
            </w:tcBorders>
            <w:vAlign w:val="center"/>
          </w:tcPr>
          <w:p w14:paraId="0088D864"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92,2%</w:t>
            </w:r>
          </w:p>
        </w:tc>
        <w:tc>
          <w:tcPr>
            <w:tcW w:w="682" w:type="dxa"/>
            <w:tcBorders>
              <w:top w:val="single" w:sz="8" w:space="0" w:color="000000"/>
              <w:left w:val="single" w:sz="8" w:space="0" w:color="000000"/>
              <w:bottom w:val="single" w:sz="8" w:space="0" w:color="000000"/>
              <w:right w:val="single" w:sz="8" w:space="0" w:color="000000"/>
            </w:tcBorders>
            <w:vAlign w:val="center"/>
          </w:tcPr>
          <w:p w14:paraId="1CE2190C"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94,6%</w:t>
            </w:r>
          </w:p>
        </w:tc>
        <w:tc>
          <w:tcPr>
            <w:tcW w:w="682" w:type="dxa"/>
            <w:tcBorders>
              <w:top w:val="single" w:sz="8" w:space="0" w:color="000000"/>
              <w:left w:val="single" w:sz="8" w:space="0" w:color="000000"/>
              <w:bottom w:val="single" w:sz="8" w:space="0" w:color="000000"/>
              <w:right w:val="single" w:sz="8" w:space="0" w:color="000000"/>
            </w:tcBorders>
            <w:vAlign w:val="center"/>
          </w:tcPr>
          <w:p w14:paraId="28E794FD"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93,4%</w:t>
            </w:r>
          </w:p>
        </w:tc>
        <w:tc>
          <w:tcPr>
            <w:tcW w:w="682" w:type="dxa"/>
            <w:tcBorders>
              <w:top w:val="single" w:sz="8" w:space="0" w:color="000000"/>
              <w:left w:val="single" w:sz="8" w:space="0" w:color="000000"/>
              <w:bottom w:val="single" w:sz="8" w:space="0" w:color="000000"/>
              <w:right w:val="single" w:sz="8" w:space="0" w:color="000000"/>
            </w:tcBorders>
            <w:vAlign w:val="center"/>
          </w:tcPr>
          <w:p w14:paraId="574B72A8"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92,4%</w:t>
            </w:r>
          </w:p>
        </w:tc>
        <w:tc>
          <w:tcPr>
            <w:tcW w:w="684" w:type="dxa"/>
            <w:tcBorders>
              <w:top w:val="single" w:sz="8" w:space="0" w:color="000000"/>
              <w:left w:val="single" w:sz="8" w:space="0" w:color="000000"/>
              <w:bottom w:val="single" w:sz="8" w:space="0" w:color="000000"/>
              <w:right w:val="single" w:sz="8" w:space="0" w:color="000000"/>
            </w:tcBorders>
            <w:vAlign w:val="center"/>
          </w:tcPr>
          <w:p w14:paraId="047A76D5"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94,8%</w:t>
            </w:r>
          </w:p>
        </w:tc>
        <w:tc>
          <w:tcPr>
            <w:tcW w:w="682" w:type="dxa"/>
            <w:tcBorders>
              <w:top w:val="single" w:sz="8" w:space="0" w:color="000000"/>
              <w:left w:val="single" w:sz="8" w:space="0" w:color="000000"/>
              <w:bottom w:val="single" w:sz="8" w:space="0" w:color="000000"/>
              <w:right w:val="single" w:sz="8" w:space="0" w:color="000000"/>
            </w:tcBorders>
            <w:vAlign w:val="center"/>
          </w:tcPr>
          <w:p w14:paraId="692D7270"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94,1%</w:t>
            </w:r>
          </w:p>
        </w:tc>
        <w:tc>
          <w:tcPr>
            <w:tcW w:w="682" w:type="dxa"/>
            <w:tcBorders>
              <w:top w:val="single" w:sz="8" w:space="0" w:color="000000"/>
              <w:left w:val="single" w:sz="8" w:space="0" w:color="000000"/>
              <w:bottom w:val="single" w:sz="8" w:space="0" w:color="000000"/>
              <w:right w:val="single" w:sz="8" w:space="0" w:color="000000"/>
            </w:tcBorders>
            <w:vAlign w:val="center"/>
          </w:tcPr>
          <w:p w14:paraId="0F8C2136"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96,7%</w:t>
            </w:r>
          </w:p>
        </w:tc>
        <w:tc>
          <w:tcPr>
            <w:tcW w:w="682" w:type="dxa"/>
            <w:tcBorders>
              <w:top w:val="single" w:sz="8" w:space="0" w:color="000000"/>
              <w:left w:val="single" w:sz="8" w:space="0" w:color="000000"/>
              <w:bottom w:val="single" w:sz="8" w:space="0" w:color="000000"/>
              <w:right w:val="single" w:sz="8" w:space="0" w:color="000000"/>
            </w:tcBorders>
            <w:vAlign w:val="center"/>
          </w:tcPr>
          <w:p w14:paraId="0DE2C506" w14:textId="77777777" w:rsidR="009F762E" w:rsidRPr="00242DFB" w:rsidRDefault="00000000" w:rsidP="005B2285">
            <w:pPr>
              <w:spacing w:line="360" w:lineRule="auto"/>
              <w:jc w:val="center"/>
              <w:rPr>
                <w:rFonts w:ascii="Arial" w:hAnsi="Arial" w:cs="Arial"/>
                <w:color w:val="000000" w:themeColor="text1"/>
                <w:sz w:val="18"/>
                <w:szCs w:val="18"/>
              </w:rPr>
            </w:pPr>
            <w:r w:rsidRPr="00242DFB">
              <w:rPr>
                <w:rFonts w:ascii="Arial" w:eastAsia="Arial" w:hAnsi="Arial" w:cs="Arial"/>
                <w:color w:val="000000" w:themeColor="text1"/>
                <w:sz w:val="18"/>
                <w:szCs w:val="18"/>
              </w:rPr>
              <w:t>96,2%</w:t>
            </w:r>
          </w:p>
        </w:tc>
      </w:tr>
    </w:tbl>
    <w:p w14:paraId="4C7D0BC1" w14:textId="0ACA47D3" w:rsidR="009F762E" w:rsidRDefault="00000000" w:rsidP="005B2285">
      <w:pPr>
        <w:spacing w:line="360" w:lineRule="auto"/>
        <w:jc w:val="both"/>
        <w:rPr>
          <w:rFonts w:ascii="Arial" w:hAnsi="Arial" w:cs="Arial"/>
          <w:color w:val="000000"/>
          <w:sz w:val="16"/>
          <w:szCs w:val="16"/>
        </w:rPr>
      </w:pPr>
      <w:r w:rsidRPr="00242DFB">
        <w:rPr>
          <w:rFonts w:ascii="Arial" w:hAnsi="Arial" w:cs="Arial"/>
          <w:color w:val="000000"/>
          <w:sz w:val="16"/>
          <w:szCs w:val="16"/>
        </w:rPr>
        <w:t xml:space="preserve">Fuente: Capital Salud EPS-S Respuesta al requerimiento No. 026-EE-54444 de la Subdirección de Garantía del Aseguramiento, mediante la cual se remite información de </w:t>
      </w:r>
      <w:r w:rsidR="0089753E" w:rsidRPr="0089753E">
        <w:rPr>
          <w:rFonts w:ascii="Arial" w:hAnsi="Arial" w:cs="Arial"/>
          <w:color w:val="000000"/>
          <w:sz w:val="16"/>
          <w:szCs w:val="16"/>
        </w:rPr>
        <w:t>información de indicadores de dispensación de medicamentos, enero–diciembre de 2025</w:t>
      </w:r>
      <w:r w:rsidR="0089753E">
        <w:rPr>
          <w:rFonts w:ascii="Arial" w:hAnsi="Arial" w:cs="Arial"/>
          <w:color w:val="000000"/>
          <w:sz w:val="16"/>
          <w:szCs w:val="16"/>
        </w:rPr>
        <w:t>.</w:t>
      </w:r>
    </w:p>
    <w:p w14:paraId="58B953F5" w14:textId="77777777" w:rsidR="0089753E" w:rsidRPr="00242DFB" w:rsidRDefault="0089753E" w:rsidP="005B2285">
      <w:pPr>
        <w:spacing w:line="360" w:lineRule="auto"/>
        <w:jc w:val="both"/>
        <w:rPr>
          <w:rFonts w:ascii="Arial" w:eastAsia="Arial" w:hAnsi="Arial" w:cs="Arial"/>
          <w:color w:val="000000" w:themeColor="text1"/>
        </w:rPr>
      </w:pPr>
    </w:p>
    <w:p w14:paraId="43301C0F"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El indicador de tiempo de espera para la entrega de medicamentos PBS (A14) presentó un comportamiento relativamente estable durante la mayor parte del año, con valores entre 1,18 y 1,47 días entre enero y septiembre. Sin embargo, a partir </w:t>
      </w:r>
      <w:r w:rsidRPr="00242DFB">
        <w:rPr>
          <w:rFonts w:ascii="Arial" w:eastAsia="Arial" w:hAnsi="Arial" w:cs="Arial"/>
          <w:color w:val="000000"/>
        </w:rPr>
        <w:lastRenderedPageBreak/>
        <w:t>de octubre se evidencia una reducción importante del tiempo de espera, pasando de 1,46 días en septiembre a 0,64 días en octubre, 0,61 días en noviembre y 0,19 días en diciembre. Este comportamiento podría reflejar una mejora en los procesos de dispensación y logística; no obstante, considerando la magnitud de la reducción observada en el último trimestre, resulta pertinente verificar si dicho resultado obedece exclusivamente a mejoras operativas o si existieron cambios en la metodología de medición o reporte.</w:t>
      </w:r>
    </w:p>
    <w:p w14:paraId="27B14C55" w14:textId="77777777" w:rsidR="009F762E" w:rsidRPr="00242DFB" w:rsidRDefault="009F762E" w:rsidP="005B2285">
      <w:pPr>
        <w:spacing w:line="360" w:lineRule="auto"/>
        <w:jc w:val="both"/>
        <w:rPr>
          <w:rFonts w:ascii="Arial" w:hAnsi="Arial" w:cs="Arial"/>
          <w:color w:val="000000" w:themeColor="text1"/>
        </w:rPr>
      </w:pPr>
    </w:p>
    <w:p w14:paraId="57CA2D66"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En cuanto al porcentaje de fórmulas médicas entregadas de manera completa (A15), se observa un desempeño favorable durante todo el periodo, con resultados superiores al 89%. Los menores registros se presentaron en abril (89,0%) y mayo (90,2%), mientras que los mejores resultados se alcanzaron en noviembre (96,8%) y diciembre (96,6%). La tendencia general muestra una recuperación progresiva durante el segundo semestre, indicando una mejora en la capacidad de la red para suministrar la totalidad de los medicamentos prescritos en una misma entrega.</w:t>
      </w:r>
    </w:p>
    <w:p w14:paraId="023C77B4" w14:textId="77777777" w:rsidR="009F762E" w:rsidRPr="00242DFB" w:rsidRDefault="009F762E" w:rsidP="005B2285">
      <w:pPr>
        <w:spacing w:line="360" w:lineRule="auto"/>
        <w:jc w:val="both"/>
        <w:rPr>
          <w:rFonts w:ascii="Arial" w:hAnsi="Arial" w:cs="Arial"/>
          <w:color w:val="000000" w:themeColor="text1"/>
        </w:rPr>
      </w:pPr>
    </w:p>
    <w:p w14:paraId="64C8D91B"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Por su parte, el indicador de oportunidad en la entrega de fórmulas médicas (A16) mantuvo niveles superiores al 92% durante toda la vigencia, alcanzando valores máximos de 96,7% en noviembre y 96,2% en diciembre. Este comportamiento muestra una mejora parcial en la capacidad de respuesta frente a los tiempos definidos para la dispensación y muestra una tendencia favorable en el último trimestre del año.</w:t>
      </w:r>
    </w:p>
    <w:p w14:paraId="083DBACE" w14:textId="77777777" w:rsidR="009F762E" w:rsidRPr="00242DFB" w:rsidRDefault="009F762E" w:rsidP="005B2285">
      <w:pPr>
        <w:spacing w:line="360" w:lineRule="auto"/>
        <w:jc w:val="both"/>
        <w:rPr>
          <w:rFonts w:ascii="Arial" w:hAnsi="Arial" w:cs="Arial"/>
          <w:color w:val="000000" w:themeColor="text1"/>
        </w:rPr>
      </w:pPr>
    </w:p>
    <w:p w14:paraId="43341AB9"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No obstante, al contrastar estos resultados con la información previamente analizada sobre medicamentos pendientes y medicamentos pendientes sin entrega efectiva, se identifica una situación que requiere especial atención. Aunque los indicadores agregados de completitud y oportunidad presentan desempeños superiores al 90%, persiste un volumen significativo de medicamentos pendientes y pendientes sin entrega efectiva, particularmente en cohortes priorizadas de alto riesgo. Lo anterior sugiere que los indicadores globales pueden reflejar un adecuado desempeño promedio del proceso de dispensación, pero no necesariamente </w:t>
      </w:r>
      <w:r w:rsidRPr="00242DFB">
        <w:rPr>
          <w:rFonts w:ascii="Arial" w:eastAsia="Arial" w:hAnsi="Arial" w:cs="Arial"/>
          <w:color w:val="000000"/>
        </w:rPr>
        <w:lastRenderedPageBreak/>
        <w:t>capturan de manera integral las dificultades que enfrentan determinados grupos poblacionales que requieren tratamientos continuos y especializados.</w:t>
      </w:r>
    </w:p>
    <w:p w14:paraId="40F1F34A" w14:textId="77777777" w:rsidR="009F762E" w:rsidRPr="00242DFB" w:rsidRDefault="009F762E" w:rsidP="005B2285">
      <w:pPr>
        <w:spacing w:line="360" w:lineRule="auto"/>
        <w:jc w:val="both"/>
        <w:rPr>
          <w:rFonts w:ascii="Arial" w:eastAsia="Arial" w:hAnsi="Arial" w:cs="Arial"/>
          <w:color w:val="000000" w:themeColor="text1"/>
        </w:rPr>
      </w:pPr>
    </w:p>
    <w:p w14:paraId="2C9B804A" w14:textId="2A437AF7" w:rsidR="009F762E" w:rsidRPr="00242DFB" w:rsidRDefault="00000000" w:rsidP="005B2285">
      <w:pPr>
        <w:pStyle w:val="Ttulo1"/>
        <w:numPr>
          <w:ilvl w:val="0"/>
          <w:numId w:val="7"/>
        </w:numPr>
        <w:spacing w:before="0" w:line="360" w:lineRule="auto"/>
        <w:rPr>
          <w:rStyle w:val="eop"/>
          <w:rFonts w:ascii="Arial" w:hAnsi="Arial" w:cs="Arial"/>
          <w:b/>
          <w:bCs/>
          <w:color w:val="000000" w:themeColor="text1"/>
          <w:sz w:val="24"/>
          <w:szCs w:val="24"/>
        </w:rPr>
      </w:pPr>
      <w:bookmarkStart w:id="107" w:name="_Toc233574851"/>
      <w:r w:rsidRPr="00242DFB">
        <w:rPr>
          <w:rStyle w:val="eop"/>
          <w:rFonts w:ascii="Arial" w:hAnsi="Arial" w:cs="Arial"/>
          <w:b/>
          <w:bCs/>
          <w:color w:val="000000" w:themeColor="text1"/>
          <w:sz w:val="24"/>
          <w:szCs w:val="24"/>
        </w:rPr>
        <w:t>ANÁLISIS FINANCIERO</w:t>
      </w:r>
      <w:bookmarkEnd w:id="107"/>
    </w:p>
    <w:p w14:paraId="386588F2" w14:textId="77777777" w:rsidR="00225D0B" w:rsidRPr="00242DFB" w:rsidRDefault="00225D0B" w:rsidP="005B2285">
      <w:pPr>
        <w:spacing w:line="360" w:lineRule="auto"/>
        <w:jc w:val="both"/>
        <w:rPr>
          <w:rFonts w:ascii="Arial" w:hAnsi="Arial" w:cs="Arial"/>
        </w:rPr>
      </w:pPr>
    </w:p>
    <w:p w14:paraId="040002A4" w14:textId="77777777" w:rsidR="00B477BF" w:rsidRDefault="00B477BF" w:rsidP="005B2285">
      <w:pPr>
        <w:spacing w:line="360" w:lineRule="auto"/>
        <w:jc w:val="both"/>
        <w:rPr>
          <w:rFonts w:ascii="Arial" w:hAnsi="Arial" w:cs="Arial"/>
        </w:rPr>
      </w:pPr>
      <w:r w:rsidRPr="00B477BF">
        <w:rPr>
          <w:rFonts w:ascii="Arial" w:hAnsi="Arial" w:cs="Arial"/>
        </w:rPr>
        <w:t>El presente capítulo desarrolla el análisis financiero de Capital Salud EPS-S para el periodo enero-diciembre de 2025, con base en la información contenida en el Formato FT001 y en los estados financieros reportados por la entidad a la Superintendencia Nacional de Salud. Las cifras se presentan en millones de pesos y permiten examinar la evolución de los principales componentes de la estructura financiera de la EPS, incluyendo activos, pasivos, patrimonio, efectivo y equivalentes, cuentas por cobrar, cuentas por pagar a proveedores médicos, provisiones, nivel de endeudamiento y comportamiento de la siniestralidad.</w:t>
      </w:r>
    </w:p>
    <w:p w14:paraId="3DD027F2" w14:textId="77777777" w:rsidR="00810D58" w:rsidRPr="00B477BF" w:rsidRDefault="00810D58" w:rsidP="005B2285">
      <w:pPr>
        <w:spacing w:line="360" w:lineRule="auto"/>
        <w:jc w:val="both"/>
        <w:rPr>
          <w:rFonts w:ascii="Arial" w:hAnsi="Arial" w:cs="Arial"/>
        </w:rPr>
      </w:pPr>
    </w:p>
    <w:p w14:paraId="0F71FD29" w14:textId="77777777" w:rsidR="00B477BF" w:rsidRDefault="00B477BF" w:rsidP="005B2285">
      <w:pPr>
        <w:spacing w:line="360" w:lineRule="auto"/>
        <w:jc w:val="both"/>
        <w:rPr>
          <w:rFonts w:ascii="Arial" w:hAnsi="Arial" w:cs="Arial"/>
        </w:rPr>
      </w:pPr>
      <w:r w:rsidRPr="00B477BF">
        <w:rPr>
          <w:rFonts w:ascii="Arial" w:hAnsi="Arial" w:cs="Arial"/>
        </w:rPr>
        <w:t>El análisis tiene como propósito identificar señales financieras relevantes para el seguimiento institucional, especialmente aquellas asociadas a liquidez, sostenibilidad operativa, deterioro patrimonial, crecimiento de obligaciones con la red prestadora, presión del gasto asistencial y capacidad de la EPS para mantener la continuidad en la prestación de servicios de salud. En este sentido, los resultados presentados permiten establecer alertas técnicas sobre la evolución financiera de Capital Salud EPS-S durante la vigencia 2025, sin que ello constituya una certificación definitiva sobre el cumplimiento de las condiciones financieras y de solvencia previstas en el marco normativo vigente.</w:t>
      </w:r>
    </w:p>
    <w:p w14:paraId="1516D757" w14:textId="77777777" w:rsidR="00810D58" w:rsidRPr="00B477BF" w:rsidRDefault="00810D58" w:rsidP="005B2285">
      <w:pPr>
        <w:spacing w:line="360" w:lineRule="auto"/>
        <w:jc w:val="both"/>
        <w:rPr>
          <w:rFonts w:ascii="Arial" w:hAnsi="Arial" w:cs="Arial"/>
        </w:rPr>
      </w:pPr>
    </w:p>
    <w:p w14:paraId="649561CF" w14:textId="68022B67" w:rsidR="009F762E" w:rsidRPr="00242DFB" w:rsidRDefault="00000000" w:rsidP="005B2285">
      <w:pPr>
        <w:pStyle w:val="Ttulo2"/>
        <w:numPr>
          <w:ilvl w:val="1"/>
          <w:numId w:val="7"/>
        </w:numPr>
        <w:spacing w:before="0" w:line="360" w:lineRule="auto"/>
        <w:rPr>
          <w:rFonts w:ascii="Arial" w:hAnsi="Arial" w:cs="Arial"/>
          <w:b/>
          <w:bCs/>
          <w:color w:val="000000" w:themeColor="text1"/>
          <w:sz w:val="24"/>
          <w:szCs w:val="24"/>
        </w:rPr>
      </w:pPr>
      <w:bookmarkStart w:id="108" w:name="_Toc233574852"/>
      <w:r w:rsidRPr="00242DFB">
        <w:rPr>
          <w:rFonts w:ascii="Arial" w:hAnsi="Arial" w:cs="Arial"/>
          <w:b/>
          <w:bCs/>
          <w:color w:val="000000" w:themeColor="text1"/>
          <w:sz w:val="24"/>
          <w:szCs w:val="24"/>
        </w:rPr>
        <w:t>Estado de situación financiera</w:t>
      </w:r>
      <w:bookmarkEnd w:id="108"/>
    </w:p>
    <w:p w14:paraId="51D6349D" w14:textId="77777777" w:rsidR="009F762E" w:rsidRPr="00242DFB" w:rsidRDefault="009F762E" w:rsidP="005B2285">
      <w:pPr>
        <w:shd w:val="clear" w:color="auto" w:fill="FFFFFF" w:themeFill="background1"/>
        <w:spacing w:line="360" w:lineRule="auto"/>
        <w:jc w:val="both"/>
        <w:rPr>
          <w:rFonts w:ascii="Arial" w:eastAsia="Arial" w:hAnsi="Arial" w:cs="Arial"/>
          <w:b/>
          <w:bCs/>
          <w:color w:val="000000" w:themeColor="text1"/>
        </w:rPr>
      </w:pPr>
    </w:p>
    <w:p w14:paraId="723F1589" w14:textId="77777777" w:rsidR="00DA69F3" w:rsidRDefault="00000000" w:rsidP="005B2285">
      <w:pPr>
        <w:spacing w:line="360" w:lineRule="auto"/>
        <w:jc w:val="both"/>
        <w:rPr>
          <w:rFonts w:ascii="Arial" w:hAnsi="Arial" w:cs="Arial"/>
          <w:color w:val="000000"/>
        </w:rPr>
      </w:pPr>
      <w:r w:rsidRPr="00242DFB">
        <w:rPr>
          <w:rFonts w:ascii="Arial" w:hAnsi="Arial" w:cs="Arial"/>
          <w:color w:val="000000"/>
        </w:rPr>
        <w:t xml:space="preserve">La información financiera de Capital Salud EPS-S se extrajo del sitio web oficial de la Superintendencia Nacional de Salud donde tiene publicado el formato FT001 </w:t>
      </w:r>
      <w:hyperlink r:id="rId22" w:history="1">
        <w:r w:rsidR="006B05FA" w:rsidRPr="00242DFB">
          <w:rPr>
            <w:rStyle w:val="Hipervnculo"/>
            <w:rFonts w:ascii="Arial" w:hAnsi="Arial" w:cs="Arial"/>
          </w:rPr>
          <w:t>https://www.supersalud.gov.co/es-co/transparencia-y-acceso-a-la-informacion-publica/datos-abiertos/seccion-de-datos-abiertos</w:t>
        </w:r>
      </w:hyperlink>
      <w:r w:rsidR="006B05FA" w:rsidRPr="00242DFB">
        <w:rPr>
          <w:rFonts w:ascii="Arial" w:hAnsi="Arial" w:cs="Arial"/>
          <w:color w:val="000000"/>
        </w:rPr>
        <w:t xml:space="preserve"> </w:t>
      </w:r>
      <w:r w:rsidRPr="00242DFB">
        <w:rPr>
          <w:rFonts w:ascii="Arial" w:hAnsi="Arial" w:cs="Arial"/>
          <w:color w:val="000000"/>
        </w:rPr>
        <w:t xml:space="preserve">donde se obtuvo la información correspondiente a los periodos enero a diciembre de 2025. </w:t>
      </w:r>
    </w:p>
    <w:p w14:paraId="622D81B9" w14:textId="77777777" w:rsidR="00DA69F3" w:rsidRDefault="00DA69F3" w:rsidP="005B2285">
      <w:pPr>
        <w:spacing w:line="360" w:lineRule="auto"/>
        <w:jc w:val="both"/>
        <w:rPr>
          <w:rFonts w:ascii="Arial" w:hAnsi="Arial" w:cs="Arial"/>
          <w:color w:val="000000"/>
        </w:rPr>
      </w:pPr>
    </w:p>
    <w:p w14:paraId="21AD52E3" w14:textId="792A2DD7" w:rsidR="009F762E" w:rsidRDefault="00000000" w:rsidP="005B2285">
      <w:pPr>
        <w:spacing w:line="360" w:lineRule="auto"/>
        <w:jc w:val="both"/>
        <w:rPr>
          <w:rFonts w:ascii="Arial" w:hAnsi="Arial" w:cs="Arial"/>
          <w:color w:val="000000"/>
        </w:rPr>
      </w:pPr>
      <w:r w:rsidRPr="00242DFB">
        <w:rPr>
          <w:rFonts w:ascii="Arial" w:hAnsi="Arial" w:cs="Arial"/>
          <w:color w:val="000000"/>
        </w:rPr>
        <w:t xml:space="preserve">En términos generales y con el fin de realizar un análisis para determinar sí Capital Salud EPS-S cumple las condiciones financieras y de solvencia establecidas en el Decreto 780 de 2016, a continuación, en la tabla </w:t>
      </w:r>
      <w:r w:rsidRPr="00DA69F3">
        <w:rPr>
          <w:rFonts w:ascii="Arial" w:hAnsi="Arial" w:cs="Arial"/>
          <w:color w:val="000000"/>
        </w:rPr>
        <w:t>2</w:t>
      </w:r>
      <w:r w:rsidR="00DA69F3" w:rsidRPr="00DA69F3">
        <w:rPr>
          <w:rFonts w:ascii="Arial" w:hAnsi="Arial" w:cs="Arial"/>
          <w:color w:val="000000"/>
        </w:rPr>
        <w:t>5</w:t>
      </w:r>
      <w:r w:rsidRPr="00DA69F3">
        <w:rPr>
          <w:rFonts w:ascii="Arial" w:hAnsi="Arial" w:cs="Arial"/>
          <w:color w:val="000000"/>
        </w:rPr>
        <w:t>, se</w:t>
      </w:r>
      <w:r w:rsidRPr="00242DFB">
        <w:rPr>
          <w:rFonts w:ascii="Arial" w:hAnsi="Arial" w:cs="Arial"/>
          <w:color w:val="000000"/>
        </w:rPr>
        <w:t xml:space="preserve"> muestra el detalle del total de los activos, pasivos y patrimonio de los periodos mencionados: </w:t>
      </w:r>
    </w:p>
    <w:p w14:paraId="025130E9" w14:textId="77777777" w:rsidR="00FB1F53" w:rsidRDefault="00FB1F53" w:rsidP="005B2285">
      <w:pPr>
        <w:spacing w:line="360" w:lineRule="auto"/>
        <w:jc w:val="both"/>
        <w:rPr>
          <w:rFonts w:ascii="Arial" w:hAnsi="Arial" w:cs="Arial"/>
          <w:color w:val="000000"/>
        </w:rPr>
      </w:pPr>
    </w:p>
    <w:p w14:paraId="00F84E2C" w14:textId="77777777" w:rsidR="00FB1F53" w:rsidRDefault="00FB1F53" w:rsidP="005B2285">
      <w:pPr>
        <w:spacing w:line="360" w:lineRule="auto"/>
        <w:jc w:val="both"/>
        <w:rPr>
          <w:rFonts w:ascii="Arial" w:hAnsi="Arial" w:cs="Arial"/>
          <w:color w:val="000000"/>
        </w:rPr>
        <w:sectPr w:rsidR="00FB1F53">
          <w:pgSz w:w="12240" w:h="15840"/>
          <w:pgMar w:top="1418" w:right="1701" w:bottom="1418" w:left="1701" w:header="0" w:footer="0" w:gutter="0"/>
          <w:cols w:space="720"/>
          <w:formProt w:val="0"/>
          <w:docGrid w:linePitch="100"/>
        </w:sectPr>
      </w:pPr>
    </w:p>
    <w:p w14:paraId="11519EDE" w14:textId="77777777" w:rsidR="009F762E" w:rsidRPr="00242DFB" w:rsidRDefault="009F762E" w:rsidP="005B2285">
      <w:pPr>
        <w:spacing w:line="360" w:lineRule="auto"/>
        <w:jc w:val="both"/>
        <w:rPr>
          <w:rFonts w:ascii="Arial" w:eastAsia="Arial" w:hAnsi="Arial" w:cs="Arial"/>
          <w:color w:val="000000" w:themeColor="text1"/>
        </w:rPr>
      </w:pPr>
    </w:p>
    <w:p w14:paraId="66AD737A" w14:textId="45D448D9" w:rsidR="00A177E6" w:rsidRPr="00A177E6" w:rsidRDefault="00A177E6" w:rsidP="005B2285">
      <w:pPr>
        <w:pStyle w:val="Descripcin"/>
        <w:keepNext/>
        <w:spacing w:after="0"/>
        <w:jc w:val="center"/>
        <w:rPr>
          <w:rFonts w:ascii="Arial" w:hAnsi="Arial" w:cs="Arial"/>
          <w:color w:val="000000" w:themeColor="text1"/>
          <w:sz w:val="24"/>
          <w:szCs w:val="24"/>
        </w:rPr>
      </w:pPr>
      <w:bookmarkStart w:id="109" w:name="_Toc233574885"/>
      <w:r w:rsidRPr="00A177E6">
        <w:rPr>
          <w:rFonts w:ascii="Arial" w:hAnsi="Arial" w:cs="Arial"/>
          <w:color w:val="000000" w:themeColor="text1"/>
          <w:sz w:val="24"/>
          <w:szCs w:val="24"/>
        </w:rPr>
        <w:t xml:space="preserve">Tabla </w:t>
      </w:r>
      <w:r w:rsidRPr="00A177E6">
        <w:rPr>
          <w:rFonts w:ascii="Arial" w:hAnsi="Arial" w:cs="Arial"/>
          <w:color w:val="000000" w:themeColor="text1"/>
          <w:sz w:val="24"/>
          <w:szCs w:val="24"/>
        </w:rPr>
        <w:fldChar w:fldCharType="begin"/>
      </w:r>
      <w:r w:rsidRPr="00A177E6">
        <w:rPr>
          <w:rFonts w:ascii="Arial" w:hAnsi="Arial" w:cs="Arial"/>
          <w:color w:val="000000" w:themeColor="text1"/>
          <w:sz w:val="24"/>
          <w:szCs w:val="24"/>
        </w:rPr>
        <w:instrText xml:space="preserve"> SEQ Tabla \* ARABIC </w:instrText>
      </w:r>
      <w:r w:rsidRPr="00A177E6">
        <w:rPr>
          <w:rFonts w:ascii="Arial" w:hAnsi="Arial" w:cs="Arial"/>
          <w:color w:val="000000" w:themeColor="text1"/>
          <w:sz w:val="24"/>
          <w:szCs w:val="24"/>
        </w:rPr>
        <w:fldChar w:fldCharType="separate"/>
      </w:r>
      <w:r w:rsidR="00B1210D">
        <w:rPr>
          <w:rFonts w:ascii="Arial" w:hAnsi="Arial" w:cs="Arial"/>
          <w:noProof/>
          <w:color w:val="000000" w:themeColor="text1"/>
          <w:sz w:val="24"/>
          <w:szCs w:val="24"/>
        </w:rPr>
        <w:t>25</w:t>
      </w:r>
      <w:r w:rsidRPr="00A177E6">
        <w:rPr>
          <w:rFonts w:ascii="Arial" w:hAnsi="Arial" w:cs="Arial"/>
          <w:color w:val="000000" w:themeColor="text1"/>
          <w:sz w:val="24"/>
          <w:szCs w:val="24"/>
        </w:rPr>
        <w:fldChar w:fldCharType="end"/>
      </w:r>
      <w:r w:rsidRPr="00A177E6">
        <w:rPr>
          <w:rFonts w:ascii="Arial" w:hAnsi="Arial" w:cs="Arial"/>
          <w:color w:val="000000" w:themeColor="text1"/>
          <w:sz w:val="24"/>
          <w:szCs w:val="24"/>
        </w:rPr>
        <w:t>. Estado de Situación Financiera</w:t>
      </w:r>
      <w:r w:rsidRPr="00A177E6">
        <w:t xml:space="preserve"> </w:t>
      </w:r>
      <w:r>
        <w:t>(</w:t>
      </w:r>
      <w:r w:rsidRPr="00A177E6">
        <w:rPr>
          <w:rFonts w:ascii="Arial" w:hAnsi="Arial" w:cs="Arial"/>
          <w:color w:val="000000" w:themeColor="text1"/>
          <w:sz w:val="24"/>
          <w:szCs w:val="24"/>
        </w:rPr>
        <w:t>Cifras en millones</w:t>
      </w:r>
      <w:r>
        <w:rPr>
          <w:rFonts w:ascii="Arial" w:hAnsi="Arial" w:cs="Arial"/>
          <w:color w:val="000000" w:themeColor="text1"/>
          <w:sz w:val="24"/>
          <w:szCs w:val="24"/>
        </w:rPr>
        <w:t>)</w:t>
      </w:r>
      <w:bookmarkEnd w:id="109"/>
    </w:p>
    <w:tbl>
      <w:tblPr>
        <w:tblStyle w:val="Tablaconcuadrcula"/>
        <w:tblW w:w="13036" w:type="dxa"/>
        <w:jc w:val="center"/>
        <w:tblLook w:val="04A0" w:firstRow="1" w:lastRow="0" w:firstColumn="1" w:lastColumn="0" w:noHBand="0" w:noVBand="1"/>
      </w:tblPr>
      <w:tblGrid>
        <w:gridCol w:w="2424"/>
        <w:gridCol w:w="885"/>
        <w:gridCol w:w="885"/>
        <w:gridCol w:w="885"/>
        <w:gridCol w:w="885"/>
        <w:gridCol w:w="884"/>
        <w:gridCol w:w="884"/>
        <w:gridCol w:w="884"/>
        <w:gridCol w:w="884"/>
        <w:gridCol w:w="884"/>
        <w:gridCol w:w="884"/>
        <w:gridCol w:w="884"/>
        <w:gridCol w:w="884"/>
      </w:tblGrid>
      <w:tr w:rsidR="00242DFB" w:rsidRPr="00242DFB" w14:paraId="5F93E3F6" w14:textId="77777777" w:rsidTr="008D5430">
        <w:trPr>
          <w:trHeight w:val="527"/>
          <w:tblHeader/>
          <w:jc w:val="center"/>
        </w:trPr>
        <w:tc>
          <w:tcPr>
            <w:tcW w:w="2423" w:type="dxa"/>
            <w:vAlign w:val="center"/>
            <w:hideMark/>
          </w:tcPr>
          <w:p w14:paraId="20C4ADD9" w14:textId="77777777" w:rsidR="00242DFB" w:rsidRPr="00242DFB" w:rsidRDefault="00242DFB" w:rsidP="005B2285">
            <w:pPr>
              <w:jc w:val="center"/>
              <w:rPr>
                <w:rFonts w:ascii="Arial" w:hAnsi="Arial" w:cs="Arial"/>
                <w:b/>
                <w:bCs/>
                <w:color w:val="000000"/>
                <w:sz w:val="16"/>
                <w:szCs w:val="16"/>
              </w:rPr>
            </w:pPr>
            <w:r w:rsidRPr="00242DFB">
              <w:rPr>
                <w:rFonts w:ascii="Arial" w:hAnsi="Arial" w:cs="Arial"/>
                <w:b/>
                <w:bCs/>
                <w:color w:val="000000"/>
                <w:sz w:val="16"/>
                <w:szCs w:val="16"/>
              </w:rPr>
              <w:t>Concepto</w:t>
            </w:r>
          </w:p>
        </w:tc>
        <w:tc>
          <w:tcPr>
            <w:tcW w:w="0" w:type="auto"/>
            <w:vAlign w:val="center"/>
            <w:hideMark/>
          </w:tcPr>
          <w:p w14:paraId="344E277D" w14:textId="77777777" w:rsidR="00242DFB" w:rsidRPr="00242DFB" w:rsidRDefault="00242DFB" w:rsidP="005B2285">
            <w:pPr>
              <w:jc w:val="center"/>
              <w:rPr>
                <w:rFonts w:ascii="Arial" w:hAnsi="Arial" w:cs="Arial"/>
                <w:b/>
                <w:bCs/>
                <w:color w:val="000000"/>
                <w:sz w:val="16"/>
                <w:szCs w:val="16"/>
              </w:rPr>
            </w:pPr>
            <w:r w:rsidRPr="00242DFB">
              <w:rPr>
                <w:rFonts w:ascii="Arial" w:hAnsi="Arial" w:cs="Arial"/>
                <w:b/>
                <w:bCs/>
                <w:color w:val="000000"/>
                <w:sz w:val="16"/>
                <w:szCs w:val="16"/>
              </w:rPr>
              <w:t>ene-25</w:t>
            </w:r>
          </w:p>
        </w:tc>
        <w:tc>
          <w:tcPr>
            <w:tcW w:w="0" w:type="auto"/>
            <w:vAlign w:val="center"/>
            <w:hideMark/>
          </w:tcPr>
          <w:p w14:paraId="354DAF17" w14:textId="77777777" w:rsidR="00242DFB" w:rsidRPr="00242DFB" w:rsidRDefault="00242DFB" w:rsidP="005B2285">
            <w:pPr>
              <w:jc w:val="center"/>
              <w:rPr>
                <w:rFonts w:ascii="Arial" w:hAnsi="Arial" w:cs="Arial"/>
                <w:b/>
                <w:bCs/>
                <w:color w:val="000000"/>
                <w:sz w:val="16"/>
                <w:szCs w:val="16"/>
              </w:rPr>
            </w:pPr>
            <w:r w:rsidRPr="00242DFB">
              <w:rPr>
                <w:rFonts w:ascii="Arial" w:hAnsi="Arial" w:cs="Arial"/>
                <w:b/>
                <w:bCs/>
                <w:color w:val="000000"/>
                <w:sz w:val="16"/>
                <w:szCs w:val="16"/>
              </w:rPr>
              <w:t>feb-25</w:t>
            </w:r>
          </w:p>
        </w:tc>
        <w:tc>
          <w:tcPr>
            <w:tcW w:w="0" w:type="auto"/>
            <w:vAlign w:val="center"/>
            <w:hideMark/>
          </w:tcPr>
          <w:p w14:paraId="0042E68B" w14:textId="77777777" w:rsidR="00242DFB" w:rsidRPr="00242DFB" w:rsidRDefault="00242DFB" w:rsidP="005B2285">
            <w:pPr>
              <w:jc w:val="center"/>
              <w:rPr>
                <w:rFonts w:ascii="Arial" w:hAnsi="Arial" w:cs="Arial"/>
                <w:b/>
                <w:bCs/>
                <w:color w:val="000000"/>
                <w:sz w:val="16"/>
                <w:szCs w:val="16"/>
              </w:rPr>
            </w:pPr>
            <w:r w:rsidRPr="00242DFB">
              <w:rPr>
                <w:rFonts w:ascii="Arial" w:hAnsi="Arial" w:cs="Arial"/>
                <w:b/>
                <w:bCs/>
                <w:color w:val="000000"/>
                <w:sz w:val="16"/>
                <w:szCs w:val="16"/>
              </w:rPr>
              <w:t>mar-25</w:t>
            </w:r>
          </w:p>
        </w:tc>
        <w:tc>
          <w:tcPr>
            <w:tcW w:w="0" w:type="auto"/>
            <w:vAlign w:val="center"/>
            <w:hideMark/>
          </w:tcPr>
          <w:p w14:paraId="2193062A" w14:textId="77777777" w:rsidR="00242DFB" w:rsidRPr="00242DFB" w:rsidRDefault="00242DFB" w:rsidP="005B2285">
            <w:pPr>
              <w:jc w:val="center"/>
              <w:rPr>
                <w:rFonts w:ascii="Arial" w:hAnsi="Arial" w:cs="Arial"/>
                <w:b/>
                <w:bCs/>
                <w:color w:val="000000"/>
                <w:sz w:val="16"/>
                <w:szCs w:val="16"/>
              </w:rPr>
            </w:pPr>
            <w:r w:rsidRPr="00242DFB">
              <w:rPr>
                <w:rFonts w:ascii="Arial" w:hAnsi="Arial" w:cs="Arial"/>
                <w:b/>
                <w:bCs/>
                <w:color w:val="000000"/>
                <w:sz w:val="16"/>
                <w:szCs w:val="16"/>
              </w:rPr>
              <w:t>abr-25</w:t>
            </w:r>
          </w:p>
        </w:tc>
        <w:tc>
          <w:tcPr>
            <w:tcW w:w="0" w:type="auto"/>
            <w:vAlign w:val="center"/>
            <w:hideMark/>
          </w:tcPr>
          <w:p w14:paraId="20603E6C" w14:textId="77777777" w:rsidR="00242DFB" w:rsidRPr="00242DFB" w:rsidRDefault="00242DFB" w:rsidP="005B2285">
            <w:pPr>
              <w:jc w:val="center"/>
              <w:rPr>
                <w:rFonts w:ascii="Arial" w:hAnsi="Arial" w:cs="Arial"/>
                <w:b/>
                <w:bCs/>
                <w:color w:val="000000"/>
                <w:sz w:val="16"/>
                <w:szCs w:val="16"/>
              </w:rPr>
            </w:pPr>
            <w:r w:rsidRPr="00242DFB">
              <w:rPr>
                <w:rFonts w:ascii="Arial" w:hAnsi="Arial" w:cs="Arial"/>
                <w:b/>
                <w:bCs/>
                <w:color w:val="000000"/>
                <w:sz w:val="16"/>
                <w:szCs w:val="16"/>
              </w:rPr>
              <w:t>may-25</w:t>
            </w:r>
          </w:p>
        </w:tc>
        <w:tc>
          <w:tcPr>
            <w:tcW w:w="0" w:type="auto"/>
            <w:vAlign w:val="center"/>
            <w:hideMark/>
          </w:tcPr>
          <w:p w14:paraId="274769D6" w14:textId="77777777" w:rsidR="00242DFB" w:rsidRPr="00242DFB" w:rsidRDefault="00242DFB" w:rsidP="005B2285">
            <w:pPr>
              <w:jc w:val="center"/>
              <w:rPr>
                <w:rFonts w:ascii="Arial" w:hAnsi="Arial" w:cs="Arial"/>
                <w:b/>
                <w:bCs/>
                <w:color w:val="000000"/>
                <w:sz w:val="16"/>
                <w:szCs w:val="16"/>
              </w:rPr>
            </w:pPr>
            <w:r w:rsidRPr="00242DFB">
              <w:rPr>
                <w:rFonts w:ascii="Arial" w:hAnsi="Arial" w:cs="Arial"/>
                <w:b/>
                <w:bCs/>
                <w:color w:val="000000"/>
                <w:sz w:val="16"/>
                <w:szCs w:val="16"/>
              </w:rPr>
              <w:t>jun-25</w:t>
            </w:r>
          </w:p>
        </w:tc>
        <w:tc>
          <w:tcPr>
            <w:tcW w:w="0" w:type="auto"/>
            <w:vAlign w:val="center"/>
            <w:hideMark/>
          </w:tcPr>
          <w:p w14:paraId="79B3FDD9" w14:textId="77777777" w:rsidR="00242DFB" w:rsidRPr="00242DFB" w:rsidRDefault="00242DFB" w:rsidP="005B2285">
            <w:pPr>
              <w:jc w:val="center"/>
              <w:rPr>
                <w:rFonts w:ascii="Arial" w:hAnsi="Arial" w:cs="Arial"/>
                <w:b/>
                <w:bCs/>
                <w:color w:val="000000"/>
                <w:sz w:val="16"/>
                <w:szCs w:val="16"/>
              </w:rPr>
            </w:pPr>
            <w:r w:rsidRPr="00242DFB">
              <w:rPr>
                <w:rFonts w:ascii="Arial" w:hAnsi="Arial" w:cs="Arial"/>
                <w:b/>
                <w:bCs/>
                <w:color w:val="000000"/>
                <w:sz w:val="16"/>
                <w:szCs w:val="16"/>
              </w:rPr>
              <w:t>jul-25</w:t>
            </w:r>
          </w:p>
        </w:tc>
        <w:tc>
          <w:tcPr>
            <w:tcW w:w="0" w:type="auto"/>
            <w:vAlign w:val="center"/>
            <w:hideMark/>
          </w:tcPr>
          <w:p w14:paraId="091E5623" w14:textId="77777777" w:rsidR="00242DFB" w:rsidRPr="00242DFB" w:rsidRDefault="00242DFB" w:rsidP="005B2285">
            <w:pPr>
              <w:jc w:val="center"/>
              <w:rPr>
                <w:rFonts w:ascii="Arial" w:hAnsi="Arial" w:cs="Arial"/>
                <w:b/>
                <w:bCs/>
                <w:color w:val="000000"/>
                <w:sz w:val="16"/>
                <w:szCs w:val="16"/>
              </w:rPr>
            </w:pPr>
            <w:r w:rsidRPr="00242DFB">
              <w:rPr>
                <w:rFonts w:ascii="Arial" w:hAnsi="Arial" w:cs="Arial"/>
                <w:b/>
                <w:bCs/>
                <w:color w:val="000000"/>
                <w:sz w:val="16"/>
                <w:szCs w:val="16"/>
              </w:rPr>
              <w:t>ago-25</w:t>
            </w:r>
          </w:p>
        </w:tc>
        <w:tc>
          <w:tcPr>
            <w:tcW w:w="0" w:type="auto"/>
            <w:vAlign w:val="center"/>
            <w:hideMark/>
          </w:tcPr>
          <w:p w14:paraId="6BDB2A32" w14:textId="77777777" w:rsidR="00242DFB" w:rsidRPr="00242DFB" w:rsidRDefault="00242DFB" w:rsidP="005B2285">
            <w:pPr>
              <w:jc w:val="center"/>
              <w:rPr>
                <w:rFonts w:ascii="Arial" w:hAnsi="Arial" w:cs="Arial"/>
                <w:b/>
                <w:bCs/>
                <w:color w:val="000000"/>
                <w:sz w:val="16"/>
                <w:szCs w:val="16"/>
              </w:rPr>
            </w:pPr>
            <w:r w:rsidRPr="00242DFB">
              <w:rPr>
                <w:rFonts w:ascii="Arial" w:hAnsi="Arial" w:cs="Arial"/>
                <w:b/>
                <w:bCs/>
                <w:color w:val="000000"/>
                <w:sz w:val="16"/>
                <w:szCs w:val="16"/>
              </w:rPr>
              <w:t>sep-25</w:t>
            </w:r>
          </w:p>
        </w:tc>
        <w:tc>
          <w:tcPr>
            <w:tcW w:w="0" w:type="auto"/>
            <w:vAlign w:val="center"/>
            <w:hideMark/>
          </w:tcPr>
          <w:p w14:paraId="51EEA3D1" w14:textId="77777777" w:rsidR="00242DFB" w:rsidRPr="00242DFB" w:rsidRDefault="00242DFB" w:rsidP="005B2285">
            <w:pPr>
              <w:jc w:val="center"/>
              <w:rPr>
                <w:rFonts w:ascii="Arial" w:hAnsi="Arial" w:cs="Arial"/>
                <w:b/>
                <w:bCs/>
                <w:color w:val="000000"/>
                <w:sz w:val="16"/>
                <w:szCs w:val="16"/>
              </w:rPr>
            </w:pPr>
            <w:r w:rsidRPr="00242DFB">
              <w:rPr>
                <w:rFonts w:ascii="Arial" w:hAnsi="Arial" w:cs="Arial"/>
                <w:b/>
                <w:bCs/>
                <w:color w:val="000000"/>
                <w:sz w:val="16"/>
                <w:szCs w:val="16"/>
              </w:rPr>
              <w:t>oct-25</w:t>
            </w:r>
          </w:p>
        </w:tc>
        <w:tc>
          <w:tcPr>
            <w:tcW w:w="0" w:type="auto"/>
            <w:vAlign w:val="center"/>
            <w:hideMark/>
          </w:tcPr>
          <w:p w14:paraId="4B0F793E" w14:textId="77777777" w:rsidR="00242DFB" w:rsidRPr="00242DFB" w:rsidRDefault="00242DFB" w:rsidP="005B2285">
            <w:pPr>
              <w:jc w:val="center"/>
              <w:rPr>
                <w:rFonts w:ascii="Arial" w:hAnsi="Arial" w:cs="Arial"/>
                <w:b/>
                <w:bCs/>
                <w:color w:val="000000"/>
                <w:sz w:val="16"/>
                <w:szCs w:val="16"/>
              </w:rPr>
            </w:pPr>
            <w:r w:rsidRPr="00242DFB">
              <w:rPr>
                <w:rFonts w:ascii="Arial" w:hAnsi="Arial" w:cs="Arial"/>
                <w:b/>
                <w:bCs/>
                <w:color w:val="000000"/>
                <w:sz w:val="16"/>
                <w:szCs w:val="16"/>
              </w:rPr>
              <w:t>nov-25</w:t>
            </w:r>
          </w:p>
        </w:tc>
        <w:tc>
          <w:tcPr>
            <w:tcW w:w="0" w:type="auto"/>
            <w:vAlign w:val="center"/>
            <w:hideMark/>
          </w:tcPr>
          <w:p w14:paraId="2BAB2414" w14:textId="77777777" w:rsidR="00242DFB" w:rsidRPr="00242DFB" w:rsidRDefault="00242DFB" w:rsidP="005B2285">
            <w:pPr>
              <w:jc w:val="center"/>
              <w:rPr>
                <w:rFonts w:ascii="Arial" w:hAnsi="Arial" w:cs="Arial"/>
                <w:b/>
                <w:bCs/>
                <w:color w:val="000000"/>
                <w:sz w:val="16"/>
                <w:szCs w:val="16"/>
              </w:rPr>
            </w:pPr>
            <w:r w:rsidRPr="00242DFB">
              <w:rPr>
                <w:rFonts w:ascii="Arial" w:hAnsi="Arial" w:cs="Arial"/>
                <w:b/>
                <w:bCs/>
                <w:color w:val="000000"/>
                <w:sz w:val="16"/>
                <w:szCs w:val="16"/>
              </w:rPr>
              <w:t>dic-25</w:t>
            </w:r>
          </w:p>
        </w:tc>
      </w:tr>
      <w:tr w:rsidR="00242DFB" w:rsidRPr="00242DFB" w14:paraId="07F76F41" w14:textId="77777777" w:rsidTr="008D5430">
        <w:trPr>
          <w:trHeight w:val="542"/>
          <w:jc w:val="center"/>
        </w:trPr>
        <w:tc>
          <w:tcPr>
            <w:tcW w:w="13036" w:type="dxa"/>
            <w:gridSpan w:val="13"/>
            <w:vAlign w:val="center"/>
            <w:hideMark/>
          </w:tcPr>
          <w:p w14:paraId="0DAB8419" w14:textId="658D68D7" w:rsidR="00242DFB" w:rsidRPr="00242DFB" w:rsidRDefault="00242DFB" w:rsidP="005B2285">
            <w:pPr>
              <w:jc w:val="center"/>
              <w:rPr>
                <w:rFonts w:ascii="Arial" w:hAnsi="Arial" w:cs="Arial"/>
                <w:color w:val="000000"/>
                <w:sz w:val="16"/>
                <w:szCs w:val="16"/>
              </w:rPr>
            </w:pPr>
            <w:r w:rsidRPr="00242DFB">
              <w:rPr>
                <w:rFonts w:ascii="Arial" w:hAnsi="Arial" w:cs="Arial"/>
                <w:b/>
                <w:bCs/>
                <w:color w:val="000000"/>
                <w:sz w:val="16"/>
                <w:szCs w:val="16"/>
              </w:rPr>
              <w:t>ACTIVOS</w:t>
            </w:r>
          </w:p>
        </w:tc>
      </w:tr>
      <w:tr w:rsidR="00242DFB" w:rsidRPr="00242DFB" w14:paraId="4BDA4838" w14:textId="77777777" w:rsidTr="008D5430">
        <w:trPr>
          <w:trHeight w:val="1073"/>
          <w:jc w:val="center"/>
        </w:trPr>
        <w:tc>
          <w:tcPr>
            <w:tcW w:w="2423" w:type="dxa"/>
            <w:vAlign w:val="center"/>
            <w:hideMark/>
          </w:tcPr>
          <w:p w14:paraId="3A73BE9F"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Efectivo y equivalentes al efectivo</w:t>
            </w:r>
          </w:p>
        </w:tc>
        <w:tc>
          <w:tcPr>
            <w:tcW w:w="0" w:type="auto"/>
            <w:vAlign w:val="center"/>
            <w:hideMark/>
          </w:tcPr>
          <w:p w14:paraId="0564A179"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$237.903</w:t>
            </w:r>
          </w:p>
        </w:tc>
        <w:tc>
          <w:tcPr>
            <w:tcW w:w="0" w:type="auto"/>
            <w:vAlign w:val="center"/>
            <w:hideMark/>
          </w:tcPr>
          <w:p w14:paraId="00934BE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$254.405</w:t>
            </w:r>
          </w:p>
        </w:tc>
        <w:tc>
          <w:tcPr>
            <w:tcW w:w="0" w:type="auto"/>
            <w:vAlign w:val="center"/>
            <w:hideMark/>
          </w:tcPr>
          <w:p w14:paraId="2DD4294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$257.099</w:t>
            </w:r>
          </w:p>
        </w:tc>
        <w:tc>
          <w:tcPr>
            <w:tcW w:w="0" w:type="auto"/>
            <w:vAlign w:val="center"/>
            <w:hideMark/>
          </w:tcPr>
          <w:p w14:paraId="3F3F3C8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$236.741</w:t>
            </w:r>
          </w:p>
        </w:tc>
        <w:tc>
          <w:tcPr>
            <w:tcW w:w="0" w:type="auto"/>
            <w:vAlign w:val="center"/>
            <w:hideMark/>
          </w:tcPr>
          <w:p w14:paraId="780259A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$248.861</w:t>
            </w:r>
          </w:p>
        </w:tc>
        <w:tc>
          <w:tcPr>
            <w:tcW w:w="0" w:type="auto"/>
            <w:vAlign w:val="center"/>
            <w:hideMark/>
          </w:tcPr>
          <w:p w14:paraId="0D354F6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$242.482</w:t>
            </w:r>
          </w:p>
        </w:tc>
        <w:tc>
          <w:tcPr>
            <w:tcW w:w="0" w:type="auto"/>
            <w:vAlign w:val="center"/>
            <w:hideMark/>
          </w:tcPr>
          <w:p w14:paraId="5133FB0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$249.822</w:t>
            </w:r>
          </w:p>
        </w:tc>
        <w:tc>
          <w:tcPr>
            <w:tcW w:w="0" w:type="auto"/>
            <w:vAlign w:val="center"/>
            <w:hideMark/>
          </w:tcPr>
          <w:p w14:paraId="523343B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$240.256</w:t>
            </w:r>
          </w:p>
        </w:tc>
        <w:tc>
          <w:tcPr>
            <w:tcW w:w="0" w:type="auto"/>
            <w:vAlign w:val="center"/>
            <w:hideMark/>
          </w:tcPr>
          <w:p w14:paraId="13B9B87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$254.057</w:t>
            </w:r>
          </w:p>
        </w:tc>
        <w:tc>
          <w:tcPr>
            <w:tcW w:w="0" w:type="auto"/>
            <w:vAlign w:val="center"/>
            <w:hideMark/>
          </w:tcPr>
          <w:p w14:paraId="56E5B5A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$237.953</w:t>
            </w:r>
          </w:p>
        </w:tc>
        <w:tc>
          <w:tcPr>
            <w:tcW w:w="0" w:type="auto"/>
            <w:vAlign w:val="center"/>
            <w:hideMark/>
          </w:tcPr>
          <w:p w14:paraId="457658AD"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$195.393</w:t>
            </w:r>
          </w:p>
        </w:tc>
        <w:tc>
          <w:tcPr>
            <w:tcW w:w="0" w:type="auto"/>
            <w:vAlign w:val="center"/>
            <w:hideMark/>
          </w:tcPr>
          <w:p w14:paraId="6834C79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$196.375</w:t>
            </w:r>
          </w:p>
        </w:tc>
      </w:tr>
      <w:tr w:rsidR="00242DFB" w:rsidRPr="00242DFB" w14:paraId="5D3E4655" w14:textId="77777777" w:rsidTr="008D5430">
        <w:trPr>
          <w:trHeight w:val="808"/>
          <w:jc w:val="center"/>
        </w:trPr>
        <w:tc>
          <w:tcPr>
            <w:tcW w:w="2423" w:type="dxa"/>
            <w:vAlign w:val="center"/>
            <w:hideMark/>
          </w:tcPr>
          <w:p w14:paraId="10116E0E"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Cuentas por cobrar</w:t>
            </w:r>
          </w:p>
        </w:tc>
        <w:tc>
          <w:tcPr>
            <w:tcW w:w="0" w:type="auto"/>
            <w:vAlign w:val="center"/>
            <w:hideMark/>
          </w:tcPr>
          <w:p w14:paraId="07B7BD2C"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$75.678</w:t>
            </w:r>
          </w:p>
        </w:tc>
        <w:tc>
          <w:tcPr>
            <w:tcW w:w="0" w:type="auto"/>
            <w:vAlign w:val="center"/>
            <w:hideMark/>
          </w:tcPr>
          <w:p w14:paraId="2EE0E94C"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$78.788</w:t>
            </w:r>
          </w:p>
        </w:tc>
        <w:tc>
          <w:tcPr>
            <w:tcW w:w="0" w:type="auto"/>
            <w:vAlign w:val="center"/>
            <w:hideMark/>
          </w:tcPr>
          <w:p w14:paraId="0562D7D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$77.731</w:t>
            </w:r>
          </w:p>
        </w:tc>
        <w:tc>
          <w:tcPr>
            <w:tcW w:w="0" w:type="auto"/>
            <w:vAlign w:val="center"/>
            <w:hideMark/>
          </w:tcPr>
          <w:p w14:paraId="3BFDF9D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$79.011</w:t>
            </w:r>
          </w:p>
        </w:tc>
        <w:tc>
          <w:tcPr>
            <w:tcW w:w="0" w:type="auto"/>
            <w:vAlign w:val="center"/>
            <w:hideMark/>
          </w:tcPr>
          <w:p w14:paraId="196583B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$75.124</w:t>
            </w:r>
          </w:p>
        </w:tc>
        <w:tc>
          <w:tcPr>
            <w:tcW w:w="0" w:type="auto"/>
            <w:vAlign w:val="center"/>
            <w:hideMark/>
          </w:tcPr>
          <w:p w14:paraId="667A030D"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$97.801</w:t>
            </w:r>
          </w:p>
        </w:tc>
        <w:tc>
          <w:tcPr>
            <w:tcW w:w="0" w:type="auto"/>
            <w:vAlign w:val="center"/>
            <w:hideMark/>
          </w:tcPr>
          <w:p w14:paraId="71D3FD2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$109.883</w:t>
            </w:r>
          </w:p>
        </w:tc>
        <w:tc>
          <w:tcPr>
            <w:tcW w:w="0" w:type="auto"/>
            <w:vAlign w:val="center"/>
            <w:hideMark/>
          </w:tcPr>
          <w:p w14:paraId="6CA4F0C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$110.251</w:t>
            </w:r>
          </w:p>
        </w:tc>
        <w:tc>
          <w:tcPr>
            <w:tcW w:w="0" w:type="auto"/>
            <w:vAlign w:val="center"/>
            <w:hideMark/>
          </w:tcPr>
          <w:p w14:paraId="0EB4FF8C"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$138.494</w:t>
            </w:r>
          </w:p>
        </w:tc>
        <w:tc>
          <w:tcPr>
            <w:tcW w:w="0" w:type="auto"/>
            <w:vAlign w:val="center"/>
            <w:hideMark/>
          </w:tcPr>
          <w:p w14:paraId="50BC52D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$140.172</w:t>
            </w:r>
          </w:p>
        </w:tc>
        <w:tc>
          <w:tcPr>
            <w:tcW w:w="0" w:type="auto"/>
            <w:vAlign w:val="center"/>
            <w:hideMark/>
          </w:tcPr>
          <w:p w14:paraId="63C29F53"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$125.796</w:t>
            </w:r>
          </w:p>
        </w:tc>
        <w:tc>
          <w:tcPr>
            <w:tcW w:w="0" w:type="auto"/>
            <w:vAlign w:val="center"/>
            <w:hideMark/>
          </w:tcPr>
          <w:p w14:paraId="3C672D36"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$124.964</w:t>
            </w:r>
          </w:p>
        </w:tc>
      </w:tr>
      <w:tr w:rsidR="00242DFB" w:rsidRPr="00242DFB" w14:paraId="3AD1FF90" w14:textId="77777777" w:rsidTr="008D5430">
        <w:trPr>
          <w:trHeight w:val="808"/>
          <w:jc w:val="center"/>
        </w:trPr>
        <w:tc>
          <w:tcPr>
            <w:tcW w:w="2423" w:type="dxa"/>
            <w:vAlign w:val="center"/>
            <w:hideMark/>
          </w:tcPr>
          <w:p w14:paraId="391D234A"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Propiedad, planta y equipo</w:t>
            </w:r>
          </w:p>
        </w:tc>
        <w:tc>
          <w:tcPr>
            <w:tcW w:w="0" w:type="auto"/>
            <w:vAlign w:val="center"/>
            <w:hideMark/>
          </w:tcPr>
          <w:p w14:paraId="2DDFA3C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$1.829</w:t>
            </w:r>
          </w:p>
        </w:tc>
        <w:tc>
          <w:tcPr>
            <w:tcW w:w="0" w:type="auto"/>
            <w:vAlign w:val="center"/>
            <w:hideMark/>
          </w:tcPr>
          <w:p w14:paraId="7799DCB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$1.807</w:t>
            </w:r>
          </w:p>
        </w:tc>
        <w:tc>
          <w:tcPr>
            <w:tcW w:w="0" w:type="auto"/>
            <w:vAlign w:val="center"/>
            <w:hideMark/>
          </w:tcPr>
          <w:p w14:paraId="64B5E5EC"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$1.820</w:t>
            </w:r>
          </w:p>
        </w:tc>
        <w:tc>
          <w:tcPr>
            <w:tcW w:w="0" w:type="auto"/>
            <w:vAlign w:val="center"/>
            <w:hideMark/>
          </w:tcPr>
          <w:p w14:paraId="31426F7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$1.824</w:t>
            </w:r>
          </w:p>
        </w:tc>
        <w:tc>
          <w:tcPr>
            <w:tcW w:w="0" w:type="auto"/>
            <w:vAlign w:val="center"/>
            <w:hideMark/>
          </w:tcPr>
          <w:p w14:paraId="5CBB152D"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$1.804</w:t>
            </w:r>
          </w:p>
        </w:tc>
        <w:tc>
          <w:tcPr>
            <w:tcW w:w="0" w:type="auto"/>
            <w:vAlign w:val="center"/>
            <w:hideMark/>
          </w:tcPr>
          <w:p w14:paraId="10283D3C"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$1.780</w:t>
            </w:r>
          </w:p>
        </w:tc>
        <w:tc>
          <w:tcPr>
            <w:tcW w:w="0" w:type="auto"/>
            <w:vAlign w:val="center"/>
            <w:hideMark/>
          </w:tcPr>
          <w:p w14:paraId="72C1F11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$1.766</w:t>
            </w:r>
          </w:p>
        </w:tc>
        <w:tc>
          <w:tcPr>
            <w:tcW w:w="0" w:type="auto"/>
            <w:vAlign w:val="center"/>
            <w:hideMark/>
          </w:tcPr>
          <w:p w14:paraId="154C39A9"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$1.744</w:t>
            </w:r>
          </w:p>
        </w:tc>
        <w:tc>
          <w:tcPr>
            <w:tcW w:w="0" w:type="auto"/>
            <w:vAlign w:val="center"/>
            <w:hideMark/>
          </w:tcPr>
          <w:p w14:paraId="284CC49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$1.787</w:t>
            </w:r>
          </w:p>
        </w:tc>
        <w:tc>
          <w:tcPr>
            <w:tcW w:w="0" w:type="auto"/>
            <w:vAlign w:val="center"/>
            <w:hideMark/>
          </w:tcPr>
          <w:p w14:paraId="241D9CA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$1.758</w:t>
            </w:r>
          </w:p>
        </w:tc>
        <w:tc>
          <w:tcPr>
            <w:tcW w:w="0" w:type="auto"/>
            <w:vAlign w:val="center"/>
            <w:hideMark/>
          </w:tcPr>
          <w:p w14:paraId="1F10AD4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$1.730</w:t>
            </w:r>
          </w:p>
        </w:tc>
        <w:tc>
          <w:tcPr>
            <w:tcW w:w="0" w:type="auto"/>
            <w:vAlign w:val="center"/>
            <w:hideMark/>
          </w:tcPr>
          <w:p w14:paraId="5DD4767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$1.701</w:t>
            </w:r>
          </w:p>
        </w:tc>
      </w:tr>
      <w:tr w:rsidR="00242DFB" w:rsidRPr="00242DFB" w14:paraId="39ADFE70" w14:textId="77777777" w:rsidTr="008D5430">
        <w:trPr>
          <w:trHeight w:val="808"/>
          <w:jc w:val="center"/>
        </w:trPr>
        <w:tc>
          <w:tcPr>
            <w:tcW w:w="2423" w:type="dxa"/>
            <w:vAlign w:val="center"/>
            <w:hideMark/>
          </w:tcPr>
          <w:p w14:paraId="2545F79A"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Avances y anticipos</w:t>
            </w:r>
          </w:p>
        </w:tc>
        <w:tc>
          <w:tcPr>
            <w:tcW w:w="0" w:type="auto"/>
            <w:vAlign w:val="center"/>
            <w:hideMark/>
          </w:tcPr>
          <w:p w14:paraId="0838A2F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$37.415</w:t>
            </w:r>
          </w:p>
        </w:tc>
        <w:tc>
          <w:tcPr>
            <w:tcW w:w="0" w:type="auto"/>
            <w:vAlign w:val="center"/>
            <w:hideMark/>
          </w:tcPr>
          <w:p w14:paraId="7FCFC2C6"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$34.142</w:t>
            </w:r>
          </w:p>
        </w:tc>
        <w:tc>
          <w:tcPr>
            <w:tcW w:w="0" w:type="auto"/>
            <w:vAlign w:val="center"/>
            <w:hideMark/>
          </w:tcPr>
          <w:p w14:paraId="6070343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$28.535</w:t>
            </w:r>
          </w:p>
        </w:tc>
        <w:tc>
          <w:tcPr>
            <w:tcW w:w="0" w:type="auto"/>
            <w:vAlign w:val="center"/>
            <w:hideMark/>
          </w:tcPr>
          <w:p w14:paraId="4B901FC9"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$45.043</w:t>
            </w:r>
          </w:p>
        </w:tc>
        <w:tc>
          <w:tcPr>
            <w:tcW w:w="0" w:type="auto"/>
            <w:vAlign w:val="center"/>
            <w:hideMark/>
          </w:tcPr>
          <w:p w14:paraId="73203AE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$29.186</w:t>
            </w:r>
          </w:p>
        </w:tc>
        <w:tc>
          <w:tcPr>
            <w:tcW w:w="0" w:type="auto"/>
            <w:vAlign w:val="center"/>
            <w:hideMark/>
          </w:tcPr>
          <w:p w14:paraId="367FDA47"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$23.108</w:t>
            </w:r>
          </w:p>
        </w:tc>
        <w:tc>
          <w:tcPr>
            <w:tcW w:w="0" w:type="auto"/>
            <w:vAlign w:val="center"/>
            <w:hideMark/>
          </w:tcPr>
          <w:p w14:paraId="61E5981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$15.850</w:t>
            </w:r>
          </w:p>
        </w:tc>
        <w:tc>
          <w:tcPr>
            <w:tcW w:w="0" w:type="auto"/>
            <w:vAlign w:val="center"/>
            <w:hideMark/>
          </w:tcPr>
          <w:p w14:paraId="4009142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$27.548</w:t>
            </w:r>
          </w:p>
        </w:tc>
        <w:tc>
          <w:tcPr>
            <w:tcW w:w="0" w:type="auto"/>
            <w:vAlign w:val="center"/>
            <w:hideMark/>
          </w:tcPr>
          <w:p w14:paraId="37562B67"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$24.292</w:t>
            </w:r>
          </w:p>
        </w:tc>
        <w:tc>
          <w:tcPr>
            <w:tcW w:w="0" w:type="auto"/>
            <w:vAlign w:val="center"/>
            <w:hideMark/>
          </w:tcPr>
          <w:p w14:paraId="7FCBDA1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$18.670</w:t>
            </w:r>
          </w:p>
        </w:tc>
        <w:tc>
          <w:tcPr>
            <w:tcW w:w="0" w:type="auto"/>
            <w:vAlign w:val="center"/>
            <w:hideMark/>
          </w:tcPr>
          <w:p w14:paraId="4A7AB617"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$37.580</w:t>
            </w:r>
          </w:p>
        </w:tc>
        <w:tc>
          <w:tcPr>
            <w:tcW w:w="0" w:type="auto"/>
            <w:vAlign w:val="center"/>
            <w:hideMark/>
          </w:tcPr>
          <w:p w14:paraId="60A8756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$78.271</w:t>
            </w:r>
          </w:p>
        </w:tc>
      </w:tr>
      <w:tr w:rsidR="00242DFB" w:rsidRPr="00242DFB" w14:paraId="22B4E056" w14:textId="77777777" w:rsidTr="008D5430">
        <w:trPr>
          <w:trHeight w:val="1339"/>
          <w:jc w:val="center"/>
        </w:trPr>
        <w:tc>
          <w:tcPr>
            <w:tcW w:w="2423" w:type="dxa"/>
            <w:vAlign w:val="center"/>
            <w:hideMark/>
          </w:tcPr>
          <w:p w14:paraId="6306E3BB"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Depósitos entregados en garantía</w:t>
            </w:r>
          </w:p>
        </w:tc>
        <w:tc>
          <w:tcPr>
            <w:tcW w:w="0" w:type="auto"/>
            <w:vAlign w:val="center"/>
            <w:hideMark/>
          </w:tcPr>
          <w:p w14:paraId="1A5B5CF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3E0B50DE"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532A314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14B09E4D"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56B5A3F9"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1160638C"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39D7AE67"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224A764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1DA7E82C"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4D828ED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24ADAF8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$1.546</w:t>
            </w:r>
          </w:p>
        </w:tc>
        <w:tc>
          <w:tcPr>
            <w:tcW w:w="0" w:type="auto"/>
            <w:vAlign w:val="center"/>
            <w:hideMark/>
          </w:tcPr>
          <w:p w14:paraId="3634CD4D"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$1.546</w:t>
            </w:r>
          </w:p>
        </w:tc>
      </w:tr>
      <w:tr w:rsidR="00242DFB" w:rsidRPr="00242DFB" w14:paraId="47F97035" w14:textId="77777777" w:rsidTr="008D5430">
        <w:trPr>
          <w:trHeight w:val="808"/>
          <w:jc w:val="center"/>
        </w:trPr>
        <w:tc>
          <w:tcPr>
            <w:tcW w:w="2423" w:type="dxa"/>
            <w:vAlign w:val="center"/>
            <w:hideMark/>
          </w:tcPr>
          <w:p w14:paraId="100F0329"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Activos intangibles</w:t>
            </w:r>
          </w:p>
        </w:tc>
        <w:tc>
          <w:tcPr>
            <w:tcW w:w="0" w:type="auto"/>
            <w:vAlign w:val="center"/>
            <w:hideMark/>
          </w:tcPr>
          <w:p w14:paraId="2AF8ED0D"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$657</w:t>
            </w:r>
          </w:p>
        </w:tc>
        <w:tc>
          <w:tcPr>
            <w:tcW w:w="0" w:type="auto"/>
            <w:vAlign w:val="center"/>
            <w:hideMark/>
          </w:tcPr>
          <w:p w14:paraId="2AAAC53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$653</w:t>
            </w:r>
          </w:p>
        </w:tc>
        <w:tc>
          <w:tcPr>
            <w:tcW w:w="0" w:type="auto"/>
            <w:vAlign w:val="center"/>
            <w:hideMark/>
          </w:tcPr>
          <w:p w14:paraId="745BCED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011B6A2D"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13C4DFE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02CE19B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37BDC92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06D9BCF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6A320FFD"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1D9C3DB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0DF88966"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$647</w:t>
            </w:r>
          </w:p>
        </w:tc>
        <w:tc>
          <w:tcPr>
            <w:tcW w:w="0" w:type="auto"/>
            <w:vAlign w:val="center"/>
            <w:hideMark/>
          </w:tcPr>
          <w:p w14:paraId="12BBC17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$647</w:t>
            </w:r>
          </w:p>
        </w:tc>
      </w:tr>
      <w:tr w:rsidR="00242DFB" w:rsidRPr="00242DFB" w14:paraId="3B839CDE" w14:textId="77777777" w:rsidTr="008D5430">
        <w:trPr>
          <w:trHeight w:val="1353"/>
          <w:jc w:val="center"/>
        </w:trPr>
        <w:tc>
          <w:tcPr>
            <w:tcW w:w="2423" w:type="dxa"/>
            <w:vAlign w:val="center"/>
            <w:hideMark/>
          </w:tcPr>
          <w:p w14:paraId="47527EC4"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lastRenderedPageBreak/>
              <w:t>Activos por impuestos diferidos</w:t>
            </w:r>
          </w:p>
        </w:tc>
        <w:tc>
          <w:tcPr>
            <w:tcW w:w="0" w:type="auto"/>
            <w:vAlign w:val="center"/>
            <w:hideMark/>
          </w:tcPr>
          <w:p w14:paraId="42D5F30E"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24DA2F5D"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6157BD0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7DFAAE5E"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150058A4"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4955553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69B3A77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2C2CD48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4EE122E4"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2E04705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7B56F94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$116.469</w:t>
            </w:r>
          </w:p>
        </w:tc>
        <w:tc>
          <w:tcPr>
            <w:tcW w:w="0" w:type="auto"/>
            <w:vAlign w:val="center"/>
            <w:hideMark/>
          </w:tcPr>
          <w:p w14:paraId="52A5BE5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$81.616</w:t>
            </w:r>
          </w:p>
        </w:tc>
      </w:tr>
      <w:tr w:rsidR="00242DFB" w:rsidRPr="00242DFB" w14:paraId="0826B5C7" w14:textId="77777777" w:rsidTr="008D5430">
        <w:trPr>
          <w:trHeight w:val="527"/>
          <w:jc w:val="center"/>
        </w:trPr>
        <w:tc>
          <w:tcPr>
            <w:tcW w:w="2423" w:type="dxa"/>
            <w:vAlign w:val="center"/>
            <w:hideMark/>
          </w:tcPr>
          <w:p w14:paraId="4325D042" w14:textId="4DD8C06C" w:rsidR="00242DFB" w:rsidRPr="00242DFB" w:rsidRDefault="00A177E6" w:rsidP="005B2285">
            <w:pPr>
              <w:jc w:val="center"/>
              <w:rPr>
                <w:rFonts w:ascii="Arial" w:hAnsi="Arial" w:cs="Arial"/>
                <w:color w:val="000000"/>
                <w:sz w:val="16"/>
                <w:szCs w:val="16"/>
              </w:rPr>
            </w:pPr>
            <w:r w:rsidRPr="00242DFB">
              <w:rPr>
                <w:rFonts w:ascii="Arial" w:hAnsi="Arial" w:cs="Arial"/>
                <w:b/>
                <w:bCs/>
                <w:color w:val="000000"/>
                <w:sz w:val="16"/>
                <w:szCs w:val="16"/>
              </w:rPr>
              <w:t>Total,</w:t>
            </w:r>
            <w:r w:rsidR="00242DFB" w:rsidRPr="00242DFB">
              <w:rPr>
                <w:rFonts w:ascii="Arial" w:hAnsi="Arial" w:cs="Arial"/>
                <w:b/>
                <w:bCs/>
                <w:color w:val="000000"/>
                <w:sz w:val="16"/>
                <w:szCs w:val="16"/>
              </w:rPr>
              <w:t xml:space="preserve"> activos</w:t>
            </w:r>
          </w:p>
        </w:tc>
        <w:tc>
          <w:tcPr>
            <w:tcW w:w="0" w:type="auto"/>
            <w:vAlign w:val="center"/>
            <w:hideMark/>
          </w:tcPr>
          <w:p w14:paraId="1CB34520"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$471.497</w:t>
            </w:r>
          </w:p>
        </w:tc>
        <w:tc>
          <w:tcPr>
            <w:tcW w:w="0" w:type="auto"/>
            <w:vAlign w:val="center"/>
            <w:hideMark/>
          </w:tcPr>
          <w:p w14:paraId="246FAB9A"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$487.810</w:t>
            </w:r>
          </w:p>
        </w:tc>
        <w:tc>
          <w:tcPr>
            <w:tcW w:w="0" w:type="auto"/>
            <w:vAlign w:val="center"/>
            <w:hideMark/>
          </w:tcPr>
          <w:p w14:paraId="6B16F7A7"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$483.847</w:t>
            </w:r>
          </w:p>
        </w:tc>
        <w:tc>
          <w:tcPr>
            <w:tcW w:w="0" w:type="auto"/>
            <w:vAlign w:val="center"/>
            <w:hideMark/>
          </w:tcPr>
          <w:p w14:paraId="6B27B129"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$481.281</w:t>
            </w:r>
          </w:p>
        </w:tc>
        <w:tc>
          <w:tcPr>
            <w:tcW w:w="0" w:type="auto"/>
            <w:vAlign w:val="center"/>
            <w:hideMark/>
          </w:tcPr>
          <w:p w14:paraId="6CC45685"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$473.637</w:t>
            </w:r>
          </w:p>
        </w:tc>
        <w:tc>
          <w:tcPr>
            <w:tcW w:w="0" w:type="auto"/>
            <w:vAlign w:val="center"/>
            <w:hideMark/>
          </w:tcPr>
          <w:p w14:paraId="43382A6C"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$483.833</w:t>
            </w:r>
          </w:p>
        </w:tc>
        <w:tc>
          <w:tcPr>
            <w:tcW w:w="0" w:type="auto"/>
            <w:vAlign w:val="center"/>
            <w:hideMark/>
          </w:tcPr>
          <w:p w14:paraId="5CC03FAF"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$495.983</w:t>
            </w:r>
          </w:p>
        </w:tc>
        <w:tc>
          <w:tcPr>
            <w:tcW w:w="0" w:type="auto"/>
            <w:vAlign w:val="center"/>
            <w:hideMark/>
          </w:tcPr>
          <w:p w14:paraId="5657FD3B"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$498.461</w:t>
            </w:r>
          </w:p>
        </w:tc>
        <w:tc>
          <w:tcPr>
            <w:tcW w:w="0" w:type="auto"/>
            <w:vAlign w:val="center"/>
            <w:hideMark/>
          </w:tcPr>
          <w:p w14:paraId="089AA66A"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$537.292</w:t>
            </w:r>
          </w:p>
        </w:tc>
        <w:tc>
          <w:tcPr>
            <w:tcW w:w="0" w:type="auto"/>
            <w:vAlign w:val="center"/>
            <w:hideMark/>
          </w:tcPr>
          <w:p w14:paraId="2FEEEC27"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$517.215</w:t>
            </w:r>
          </w:p>
        </w:tc>
        <w:tc>
          <w:tcPr>
            <w:tcW w:w="0" w:type="auto"/>
            <w:vAlign w:val="center"/>
            <w:hideMark/>
          </w:tcPr>
          <w:p w14:paraId="7BE65E1E"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$479.161</w:t>
            </w:r>
          </w:p>
        </w:tc>
        <w:tc>
          <w:tcPr>
            <w:tcW w:w="0" w:type="auto"/>
            <w:vAlign w:val="center"/>
            <w:hideMark/>
          </w:tcPr>
          <w:p w14:paraId="4FB5AFD1"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$485.120</w:t>
            </w:r>
          </w:p>
        </w:tc>
      </w:tr>
      <w:tr w:rsidR="00A177E6" w:rsidRPr="00242DFB" w14:paraId="779E8386" w14:textId="77777777" w:rsidTr="008D5430">
        <w:trPr>
          <w:trHeight w:val="542"/>
          <w:jc w:val="center"/>
        </w:trPr>
        <w:tc>
          <w:tcPr>
            <w:tcW w:w="13036" w:type="dxa"/>
            <w:gridSpan w:val="13"/>
            <w:vAlign w:val="center"/>
            <w:hideMark/>
          </w:tcPr>
          <w:p w14:paraId="0A659F57" w14:textId="2F47CD28" w:rsidR="00A177E6" w:rsidRPr="00242DFB" w:rsidRDefault="00A177E6" w:rsidP="005B2285">
            <w:pPr>
              <w:jc w:val="center"/>
              <w:rPr>
                <w:rFonts w:ascii="Arial" w:hAnsi="Arial" w:cs="Arial"/>
                <w:color w:val="000000"/>
                <w:sz w:val="16"/>
                <w:szCs w:val="16"/>
              </w:rPr>
            </w:pPr>
            <w:r w:rsidRPr="00242DFB">
              <w:rPr>
                <w:rFonts w:ascii="Arial" w:hAnsi="Arial" w:cs="Arial"/>
                <w:b/>
                <w:bCs/>
                <w:color w:val="000000"/>
                <w:sz w:val="16"/>
                <w:szCs w:val="16"/>
              </w:rPr>
              <w:t>PASIVOS</w:t>
            </w:r>
          </w:p>
        </w:tc>
      </w:tr>
      <w:tr w:rsidR="00242DFB" w:rsidRPr="00242DFB" w14:paraId="11D2D88A" w14:textId="77777777" w:rsidTr="008D5430">
        <w:trPr>
          <w:trHeight w:val="1339"/>
          <w:jc w:val="center"/>
        </w:trPr>
        <w:tc>
          <w:tcPr>
            <w:tcW w:w="2423" w:type="dxa"/>
            <w:vAlign w:val="center"/>
            <w:hideMark/>
          </w:tcPr>
          <w:p w14:paraId="1728B15B"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Cuentas por pagar proveedores médicos</w:t>
            </w:r>
          </w:p>
        </w:tc>
        <w:tc>
          <w:tcPr>
            <w:tcW w:w="0" w:type="auto"/>
            <w:vAlign w:val="center"/>
            <w:hideMark/>
          </w:tcPr>
          <w:p w14:paraId="0F28A556"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$177.533</w:t>
            </w:r>
          </w:p>
        </w:tc>
        <w:tc>
          <w:tcPr>
            <w:tcW w:w="0" w:type="auto"/>
            <w:vAlign w:val="center"/>
            <w:hideMark/>
          </w:tcPr>
          <w:p w14:paraId="255B8D57"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$222.763</w:t>
            </w:r>
          </w:p>
        </w:tc>
        <w:tc>
          <w:tcPr>
            <w:tcW w:w="0" w:type="auto"/>
            <w:vAlign w:val="center"/>
            <w:hideMark/>
          </w:tcPr>
          <w:p w14:paraId="444A05D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$243.607</w:t>
            </w:r>
          </w:p>
        </w:tc>
        <w:tc>
          <w:tcPr>
            <w:tcW w:w="0" w:type="auto"/>
            <w:vAlign w:val="center"/>
            <w:hideMark/>
          </w:tcPr>
          <w:p w14:paraId="66CDFA24"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$234.279</w:t>
            </w:r>
          </w:p>
        </w:tc>
        <w:tc>
          <w:tcPr>
            <w:tcW w:w="0" w:type="auto"/>
            <w:vAlign w:val="center"/>
            <w:hideMark/>
          </w:tcPr>
          <w:p w14:paraId="0702216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$249.344</w:t>
            </w:r>
          </w:p>
        </w:tc>
        <w:tc>
          <w:tcPr>
            <w:tcW w:w="0" w:type="auto"/>
            <w:vAlign w:val="center"/>
            <w:hideMark/>
          </w:tcPr>
          <w:p w14:paraId="77C83C97"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$256.170</w:t>
            </w:r>
          </w:p>
        </w:tc>
        <w:tc>
          <w:tcPr>
            <w:tcW w:w="0" w:type="auto"/>
            <w:vAlign w:val="center"/>
            <w:hideMark/>
          </w:tcPr>
          <w:p w14:paraId="57C9545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$280.040</w:t>
            </w:r>
          </w:p>
        </w:tc>
        <w:tc>
          <w:tcPr>
            <w:tcW w:w="0" w:type="auto"/>
            <w:vAlign w:val="center"/>
            <w:hideMark/>
          </w:tcPr>
          <w:p w14:paraId="61B514D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$286.533</w:t>
            </w:r>
          </w:p>
        </w:tc>
        <w:tc>
          <w:tcPr>
            <w:tcW w:w="0" w:type="auto"/>
            <w:vAlign w:val="center"/>
            <w:hideMark/>
          </w:tcPr>
          <w:p w14:paraId="7AEEA09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$297.480</w:t>
            </w:r>
          </w:p>
        </w:tc>
        <w:tc>
          <w:tcPr>
            <w:tcW w:w="0" w:type="auto"/>
            <w:vAlign w:val="center"/>
            <w:hideMark/>
          </w:tcPr>
          <w:p w14:paraId="2F941BD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$292.927</w:t>
            </w:r>
          </w:p>
        </w:tc>
        <w:tc>
          <w:tcPr>
            <w:tcW w:w="0" w:type="auto"/>
            <w:vAlign w:val="center"/>
            <w:hideMark/>
          </w:tcPr>
          <w:p w14:paraId="5FFE1174"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$218.114</w:t>
            </w:r>
          </w:p>
        </w:tc>
        <w:tc>
          <w:tcPr>
            <w:tcW w:w="0" w:type="auto"/>
            <w:vAlign w:val="center"/>
            <w:hideMark/>
          </w:tcPr>
          <w:p w14:paraId="30F0680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$215.672</w:t>
            </w:r>
          </w:p>
        </w:tc>
      </w:tr>
      <w:tr w:rsidR="00242DFB" w:rsidRPr="00242DFB" w14:paraId="390CAA7D" w14:textId="77777777" w:rsidTr="008D5430">
        <w:trPr>
          <w:trHeight w:val="1087"/>
          <w:jc w:val="center"/>
        </w:trPr>
        <w:tc>
          <w:tcPr>
            <w:tcW w:w="2423" w:type="dxa"/>
            <w:vAlign w:val="center"/>
            <w:hideMark/>
          </w:tcPr>
          <w:p w14:paraId="60C9E85E"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Cuentas por pagar administrativas</w:t>
            </w:r>
          </w:p>
        </w:tc>
        <w:tc>
          <w:tcPr>
            <w:tcW w:w="0" w:type="auto"/>
            <w:vAlign w:val="center"/>
            <w:hideMark/>
          </w:tcPr>
          <w:p w14:paraId="3CE44DDE"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$880</w:t>
            </w:r>
          </w:p>
        </w:tc>
        <w:tc>
          <w:tcPr>
            <w:tcW w:w="0" w:type="auto"/>
            <w:vAlign w:val="center"/>
            <w:hideMark/>
          </w:tcPr>
          <w:p w14:paraId="1D8C10D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$813</w:t>
            </w:r>
          </w:p>
        </w:tc>
        <w:tc>
          <w:tcPr>
            <w:tcW w:w="0" w:type="auto"/>
            <w:vAlign w:val="center"/>
            <w:hideMark/>
          </w:tcPr>
          <w:p w14:paraId="216E139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$783</w:t>
            </w:r>
          </w:p>
        </w:tc>
        <w:tc>
          <w:tcPr>
            <w:tcW w:w="0" w:type="auto"/>
            <w:vAlign w:val="center"/>
            <w:hideMark/>
          </w:tcPr>
          <w:p w14:paraId="16F276C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$608</w:t>
            </w:r>
          </w:p>
        </w:tc>
        <w:tc>
          <w:tcPr>
            <w:tcW w:w="0" w:type="auto"/>
            <w:vAlign w:val="center"/>
            <w:hideMark/>
          </w:tcPr>
          <w:p w14:paraId="6EC276FE"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$875</w:t>
            </w:r>
          </w:p>
        </w:tc>
        <w:tc>
          <w:tcPr>
            <w:tcW w:w="0" w:type="auto"/>
            <w:vAlign w:val="center"/>
            <w:hideMark/>
          </w:tcPr>
          <w:p w14:paraId="355BE6E9"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$552</w:t>
            </w:r>
          </w:p>
        </w:tc>
        <w:tc>
          <w:tcPr>
            <w:tcW w:w="0" w:type="auto"/>
            <w:vAlign w:val="center"/>
            <w:hideMark/>
          </w:tcPr>
          <w:p w14:paraId="21B63D3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$947</w:t>
            </w:r>
          </w:p>
        </w:tc>
        <w:tc>
          <w:tcPr>
            <w:tcW w:w="0" w:type="auto"/>
            <w:vAlign w:val="center"/>
            <w:hideMark/>
          </w:tcPr>
          <w:p w14:paraId="6756D57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$1.106</w:t>
            </w:r>
          </w:p>
        </w:tc>
        <w:tc>
          <w:tcPr>
            <w:tcW w:w="0" w:type="auto"/>
            <w:vAlign w:val="center"/>
            <w:hideMark/>
          </w:tcPr>
          <w:p w14:paraId="0947634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$942</w:t>
            </w:r>
          </w:p>
        </w:tc>
        <w:tc>
          <w:tcPr>
            <w:tcW w:w="0" w:type="auto"/>
            <w:vAlign w:val="center"/>
            <w:hideMark/>
          </w:tcPr>
          <w:p w14:paraId="12B8BE7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$756</w:t>
            </w:r>
          </w:p>
        </w:tc>
        <w:tc>
          <w:tcPr>
            <w:tcW w:w="0" w:type="auto"/>
            <w:vAlign w:val="center"/>
            <w:hideMark/>
          </w:tcPr>
          <w:p w14:paraId="546E9D23"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$1.794</w:t>
            </w:r>
          </w:p>
        </w:tc>
        <w:tc>
          <w:tcPr>
            <w:tcW w:w="0" w:type="auto"/>
            <w:vAlign w:val="center"/>
            <w:hideMark/>
          </w:tcPr>
          <w:p w14:paraId="328F286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$1.479</w:t>
            </w:r>
          </w:p>
        </w:tc>
      </w:tr>
      <w:tr w:rsidR="00242DFB" w:rsidRPr="00242DFB" w14:paraId="7A5B68EE" w14:textId="77777777" w:rsidTr="008D5430">
        <w:trPr>
          <w:trHeight w:val="793"/>
          <w:jc w:val="center"/>
        </w:trPr>
        <w:tc>
          <w:tcPr>
            <w:tcW w:w="2423" w:type="dxa"/>
            <w:vAlign w:val="center"/>
            <w:hideMark/>
          </w:tcPr>
          <w:p w14:paraId="35F55F6B"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Otras cuentas por pagar</w:t>
            </w:r>
          </w:p>
        </w:tc>
        <w:tc>
          <w:tcPr>
            <w:tcW w:w="0" w:type="auto"/>
            <w:vAlign w:val="center"/>
            <w:hideMark/>
          </w:tcPr>
          <w:p w14:paraId="215A55D4"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$280</w:t>
            </w:r>
          </w:p>
        </w:tc>
        <w:tc>
          <w:tcPr>
            <w:tcW w:w="0" w:type="auto"/>
            <w:vAlign w:val="center"/>
            <w:hideMark/>
          </w:tcPr>
          <w:p w14:paraId="219B643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$729</w:t>
            </w:r>
          </w:p>
        </w:tc>
        <w:tc>
          <w:tcPr>
            <w:tcW w:w="0" w:type="auto"/>
            <w:vAlign w:val="center"/>
            <w:hideMark/>
          </w:tcPr>
          <w:p w14:paraId="616015F3"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$359</w:t>
            </w:r>
          </w:p>
        </w:tc>
        <w:tc>
          <w:tcPr>
            <w:tcW w:w="0" w:type="auto"/>
            <w:vAlign w:val="center"/>
            <w:hideMark/>
          </w:tcPr>
          <w:p w14:paraId="3E36FD2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$283</w:t>
            </w:r>
          </w:p>
        </w:tc>
        <w:tc>
          <w:tcPr>
            <w:tcW w:w="0" w:type="auto"/>
            <w:vAlign w:val="center"/>
            <w:hideMark/>
          </w:tcPr>
          <w:p w14:paraId="5E9B380E"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$30</w:t>
            </w:r>
          </w:p>
        </w:tc>
        <w:tc>
          <w:tcPr>
            <w:tcW w:w="0" w:type="auto"/>
            <w:vAlign w:val="center"/>
            <w:hideMark/>
          </w:tcPr>
          <w:p w14:paraId="03C25E56"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$30</w:t>
            </w:r>
          </w:p>
        </w:tc>
        <w:tc>
          <w:tcPr>
            <w:tcW w:w="0" w:type="auto"/>
            <w:vAlign w:val="center"/>
            <w:hideMark/>
          </w:tcPr>
          <w:p w14:paraId="52A9B646"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w:t>
            </w:r>
          </w:p>
        </w:tc>
        <w:tc>
          <w:tcPr>
            <w:tcW w:w="0" w:type="auto"/>
            <w:vAlign w:val="center"/>
            <w:hideMark/>
          </w:tcPr>
          <w:p w14:paraId="53C27BA3"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$138</w:t>
            </w:r>
          </w:p>
        </w:tc>
        <w:tc>
          <w:tcPr>
            <w:tcW w:w="0" w:type="auto"/>
            <w:vAlign w:val="center"/>
            <w:hideMark/>
          </w:tcPr>
          <w:p w14:paraId="670DFEBE"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$222</w:t>
            </w:r>
          </w:p>
        </w:tc>
        <w:tc>
          <w:tcPr>
            <w:tcW w:w="0" w:type="auto"/>
            <w:vAlign w:val="center"/>
            <w:hideMark/>
          </w:tcPr>
          <w:p w14:paraId="1EF2B9C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$182</w:t>
            </w:r>
          </w:p>
        </w:tc>
        <w:tc>
          <w:tcPr>
            <w:tcW w:w="0" w:type="auto"/>
            <w:vAlign w:val="center"/>
            <w:hideMark/>
          </w:tcPr>
          <w:p w14:paraId="60CD0F2E"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w:t>
            </w:r>
          </w:p>
        </w:tc>
        <w:tc>
          <w:tcPr>
            <w:tcW w:w="0" w:type="auto"/>
            <w:vAlign w:val="center"/>
            <w:hideMark/>
          </w:tcPr>
          <w:p w14:paraId="35CC516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w:t>
            </w:r>
          </w:p>
        </w:tc>
      </w:tr>
      <w:tr w:rsidR="00242DFB" w:rsidRPr="00242DFB" w14:paraId="7045125F" w14:textId="77777777" w:rsidTr="008D5430">
        <w:trPr>
          <w:trHeight w:val="1087"/>
          <w:jc w:val="center"/>
        </w:trPr>
        <w:tc>
          <w:tcPr>
            <w:tcW w:w="2423" w:type="dxa"/>
            <w:vAlign w:val="center"/>
            <w:hideMark/>
          </w:tcPr>
          <w:p w14:paraId="1FD5591D"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Beneficios a empleados</w:t>
            </w:r>
          </w:p>
        </w:tc>
        <w:tc>
          <w:tcPr>
            <w:tcW w:w="0" w:type="auto"/>
            <w:vAlign w:val="center"/>
            <w:hideMark/>
          </w:tcPr>
          <w:p w14:paraId="56C881AE"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$6.933</w:t>
            </w:r>
          </w:p>
        </w:tc>
        <w:tc>
          <w:tcPr>
            <w:tcW w:w="0" w:type="auto"/>
            <w:vAlign w:val="center"/>
            <w:hideMark/>
          </w:tcPr>
          <w:p w14:paraId="6523C96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$4.315</w:t>
            </w:r>
          </w:p>
        </w:tc>
        <w:tc>
          <w:tcPr>
            <w:tcW w:w="0" w:type="auto"/>
            <w:vAlign w:val="center"/>
            <w:hideMark/>
          </w:tcPr>
          <w:p w14:paraId="28F1478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$4.954</w:t>
            </w:r>
          </w:p>
        </w:tc>
        <w:tc>
          <w:tcPr>
            <w:tcW w:w="0" w:type="auto"/>
            <w:vAlign w:val="center"/>
            <w:hideMark/>
          </w:tcPr>
          <w:p w14:paraId="4B53111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$5.644</w:t>
            </w:r>
          </w:p>
        </w:tc>
        <w:tc>
          <w:tcPr>
            <w:tcW w:w="0" w:type="auto"/>
            <w:vAlign w:val="center"/>
            <w:hideMark/>
          </w:tcPr>
          <w:p w14:paraId="4CC28407"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$6.048</w:t>
            </w:r>
          </w:p>
        </w:tc>
        <w:tc>
          <w:tcPr>
            <w:tcW w:w="0" w:type="auto"/>
            <w:vAlign w:val="center"/>
            <w:hideMark/>
          </w:tcPr>
          <w:p w14:paraId="5D4FEBFD"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$4.931</w:t>
            </w:r>
          </w:p>
        </w:tc>
        <w:tc>
          <w:tcPr>
            <w:tcW w:w="0" w:type="auto"/>
            <w:vAlign w:val="center"/>
            <w:hideMark/>
          </w:tcPr>
          <w:p w14:paraId="5E1D34E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$5.432</w:t>
            </w:r>
          </w:p>
        </w:tc>
        <w:tc>
          <w:tcPr>
            <w:tcW w:w="0" w:type="auto"/>
            <w:vAlign w:val="center"/>
            <w:hideMark/>
          </w:tcPr>
          <w:p w14:paraId="2182922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$6.079</w:t>
            </w:r>
          </w:p>
        </w:tc>
        <w:tc>
          <w:tcPr>
            <w:tcW w:w="0" w:type="auto"/>
            <w:vAlign w:val="center"/>
            <w:hideMark/>
          </w:tcPr>
          <w:p w14:paraId="292CAF2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$6.682</w:t>
            </w:r>
          </w:p>
        </w:tc>
        <w:tc>
          <w:tcPr>
            <w:tcW w:w="0" w:type="auto"/>
            <w:vAlign w:val="center"/>
            <w:hideMark/>
          </w:tcPr>
          <w:p w14:paraId="3248BA6C"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$7.283</w:t>
            </w:r>
          </w:p>
        </w:tc>
        <w:tc>
          <w:tcPr>
            <w:tcW w:w="0" w:type="auto"/>
            <w:vAlign w:val="center"/>
            <w:hideMark/>
          </w:tcPr>
          <w:p w14:paraId="2B2484B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$7.925</w:t>
            </w:r>
          </w:p>
        </w:tc>
        <w:tc>
          <w:tcPr>
            <w:tcW w:w="0" w:type="auto"/>
            <w:vAlign w:val="center"/>
            <w:hideMark/>
          </w:tcPr>
          <w:p w14:paraId="3305601D"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$6.945</w:t>
            </w:r>
          </w:p>
        </w:tc>
      </w:tr>
      <w:tr w:rsidR="00242DFB" w:rsidRPr="00242DFB" w14:paraId="1FB817BE" w14:textId="77777777" w:rsidTr="008D5430">
        <w:trPr>
          <w:trHeight w:val="527"/>
          <w:jc w:val="center"/>
        </w:trPr>
        <w:tc>
          <w:tcPr>
            <w:tcW w:w="2423" w:type="dxa"/>
            <w:vAlign w:val="center"/>
            <w:hideMark/>
          </w:tcPr>
          <w:p w14:paraId="24DEBE8D"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Provisiones</w:t>
            </w:r>
          </w:p>
        </w:tc>
        <w:tc>
          <w:tcPr>
            <w:tcW w:w="0" w:type="auto"/>
            <w:vAlign w:val="center"/>
            <w:hideMark/>
          </w:tcPr>
          <w:p w14:paraId="1040DA67"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$217.652</w:t>
            </w:r>
          </w:p>
        </w:tc>
        <w:tc>
          <w:tcPr>
            <w:tcW w:w="0" w:type="auto"/>
            <w:vAlign w:val="center"/>
            <w:hideMark/>
          </w:tcPr>
          <w:p w14:paraId="2307573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$213.633</w:t>
            </w:r>
          </w:p>
        </w:tc>
        <w:tc>
          <w:tcPr>
            <w:tcW w:w="0" w:type="auto"/>
            <w:vAlign w:val="center"/>
            <w:hideMark/>
          </w:tcPr>
          <w:p w14:paraId="6BA9C2D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$198.868</w:t>
            </w:r>
          </w:p>
        </w:tc>
        <w:tc>
          <w:tcPr>
            <w:tcW w:w="0" w:type="auto"/>
            <w:vAlign w:val="center"/>
            <w:hideMark/>
          </w:tcPr>
          <w:p w14:paraId="6AA5184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$210.635</w:t>
            </w:r>
          </w:p>
        </w:tc>
        <w:tc>
          <w:tcPr>
            <w:tcW w:w="0" w:type="auto"/>
            <w:vAlign w:val="center"/>
            <w:hideMark/>
          </w:tcPr>
          <w:p w14:paraId="5AA1825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$213.284</w:t>
            </w:r>
          </w:p>
        </w:tc>
        <w:tc>
          <w:tcPr>
            <w:tcW w:w="0" w:type="auto"/>
            <w:vAlign w:val="center"/>
            <w:hideMark/>
          </w:tcPr>
          <w:p w14:paraId="0112D519"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$197.419</w:t>
            </w:r>
          </w:p>
        </w:tc>
        <w:tc>
          <w:tcPr>
            <w:tcW w:w="0" w:type="auto"/>
            <w:vAlign w:val="center"/>
            <w:hideMark/>
          </w:tcPr>
          <w:p w14:paraId="4A85D31C"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$202.491</w:t>
            </w:r>
          </w:p>
        </w:tc>
        <w:tc>
          <w:tcPr>
            <w:tcW w:w="0" w:type="auto"/>
            <w:vAlign w:val="center"/>
            <w:hideMark/>
          </w:tcPr>
          <w:p w14:paraId="0B00A767"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$203.348</w:t>
            </w:r>
          </w:p>
        </w:tc>
        <w:tc>
          <w:tcPr>
            <w:tcW w:w="0" w:type="auto"/>
            <w:vAlign w:val="center"/>
            <w:hideMark/>
          </w:tcPr>
          <w:p w14:paraId="3322CB46"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$209.182</w:t>
            </w:r>
          </w:p>
        </w:tc>
        <w:tc>
          <w:tcPr>
            <w:tcW w:w="0" w:type="auto"/>
            <w:vAlign w:val="center"/>
            <w:hideMark/>
          </w:tcPr>
          <w:p w14:paraId="58DD0063"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$211.643</w:t>
            </w:r>
          </w:p>
        </w:tc>
        <w:tc>
          <w:tcPr>
            <w:tcW w:w="0" w:type="auto"/>
            <w:vAlign w:val="center"/>
            <w:hideMark/>
          </w:tcPr>
          <w:p w14:paraId="3164CC8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$223.274</w:t>
            </w:r>
          </w:p>
        </w:tc>
        <w:tc>
          <w:tcPr>
            <w:tcW w:w="0" w:type="auto"/>
            <w:vAlign w:val="center"/>
            <w:hideMark/>
          </w:tcPr>
          <w:p w14:paraId="030631F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$241.689</w:t>
            </w:r>
          </w:p>
        </w:tc>
      </w:tr>
      <w:tr w:rsidR="00242DFB" w:rsidRPr="00242DFB" w14:paraId="1C54BAD9" w14:textId="77777777" w:rsidTr="008D5430">
        <w:trPr>
          <w:trHeight w:val="1073"/>
          <w:jc w:val="center"/>
        </w:trPr>
        <w:tc>
          <w:tcPr>
            <w:tcW w:w="2423" w:type="dxa"/>
            <w:vAlign w:val="center"/>
            <w:hideMark/>
          </w:tcPr>
          <w:p w14:paraId="74739848"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lastRenderedPageBreak/>
              <w:t>Otros pasivos - anticipos recibidos</w:t>
            </w:r>
          </w:p>
        </w:tc>
        <w:tc>
          <w:tcPr>
            <w:tcW w:w="0" w:type="auto"/>
            <w:vAlign w:val="center"/>
            <w:hideMark/>
          </w:tcPr>
          <w:p w14:paraId="11A60536"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2922904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2E04EAD3"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0DB178F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6C7B880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5A1E79FD"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5E3ACC14"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10B40E0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668C136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26D1ABA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54B370A6"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w:t>
            </w:r>
          </w:p>
        </w:tc>
        <w:tc>
          <w:tcPr>
            <w:tcW w:w="0" w:type="auto"/>
            <w:vAlign w:val="center"/>
            <w:hideMark/>
          </w:tcPr>
          <w:p w14:paraId="02F56C9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$24</w:t>
            </w:r>
          </w:p>
        </w:tc>
      </w:tr>
      <w:tr w:rsidR="00242DFB" w:rsidRPr="00242DFB" w14:paraId="0259FB6B" w14:textId="77777777" w:rsidTr="008D5430">
        <w:trPr>
          <w:trHeight w:val="1353"/>
          <w:jc w:val="center"/>
        </w:trPr>
        <w:tc>
          <w:tcPr>
            <w:tcW w:w="2423" w:type="dxa"/>
            <w:vAlign w:val="center"/>
            <w:hideMark/>
          </w:tcPr>
          <w:p w14:paraId="7990DB51"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Pasivos por impuestos diferidos</w:t>
            </w:r>
          </w:p>
        </w:tc>
        <w:tc>
          <w:tcPr>
            <w:tcW w:w="0" w:type="auto"/>
            <w:vAlign w:val="center"/>
            <w:hideMark/>
          </w:tcPr>
          <w:p w14:paraId="453AA404"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$956</w:t>
            </w:r>
          </w:p>
        </w:tc>
        <w:tc>
          <w:tcPr>
            <w:tcW w:w="0" w:type="auto"/>
            <w:vAlign w:val="center"/>
            <w:hideMark/>
          </w:tcPr>
          <w:p w14:paraId="75B3156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$1.143</w:t>
            </w:r>
          </w:p>
        </w:tc>
        <w:tc>
          <w:tcPr>
            <w:tcW w:w="0" w:type="auto"/>
            <w:vAlign w:val="center"/>
            <w:hideMark/>
          </w:tcPr>
          <w:p w14:paraId="7248019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$1.134</w:t>
            </w:r>
          </w:p>
        </w:tc>
        <w:tc>
          <w:tcPr>
            <w:tcW w:w="0" w:type="auto"/>
            <w:vAlign w:val="center"/>
            <w:hideMark/>
          </w:tcPr>
          <w:p w14:paraId="4F72695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$853</w:t>
            </w:r>
          </w:p>
        </w:tc>
        <w:tc>
          <w:tcPr>
            <w:tcW w:w="0" w:type="auto"/>
            <w:vAlign w:val="center"/>
            <w:hideMark/>
          </w:tcPr>
          <w:p w14:paraId="73409E0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$1.038</w:t>
            </w:r>
          </w:p>
        </w:tc>
        <w:tc>
          <w:tcPr>
            <w:tcW w:w="0" w:type="auto"/>
            <w:vAlign w:val="center"/>
            <w:hideMark/>
          </w:tcPr>
          <w:p w14:paraId="10FA4CF4"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$1.107</w:t>
            </w:r>
          </w:p>
        </w:tc>
        <w:tc>
          <w:tcPr>
            <w:tcW w:w="0" w:type="auto"/>
            <w:vAlign w:val="center"/>
            <w:hideMark/>
          </w:tcPr>
          <w:p w14:paraId="6D66F64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$1.269</w:t>
            </w:r>
          </w:p>
        </w:tc>
        <w:tc>
          <w:tcPr>
            <w:tcW w:w="0" w:type="auto"/>
            <w:vAlign w:val="center"/>
            <w:hideMark/>
          </w:tcPr>
          <w:p w14:paraId="22038A4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$1.029</w:t>
            </w:r>
          </w:p>
        </w:tc>
        <w:tc>
          <w:tcPr>
            <w:tcW w:w="0" w:type="auto"/>
            <w:vAlign w:val="center"/>
            <w:hideMark/>
          </w:tcPr>
          <w:p w14:paraId="7CDD1A36"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$1.024</w:t>
            </w:r>
          </w:p>
        </w:tc>
        <w:tc>
          <w:tcPr>
            <w:tcW w:w="0" w:type="auto"/>
            <w:vAlign w:val="center"/>
            <w:hideMark/>
          </w:tcPr>
          <w:p w14:paraId="494387F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$1.237</w:t>
            </w:r>
          </w:p>
        </w:tc>
        <w:tc>
          <w:tcPr>
            <w:tcW w:w="0" w:type="auto"/>
            <w:vAlign w:val="center"/>
            <w:hideMark/>
          </w:tcPr>
          <w:p w14:paraId="3EC3325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$1.306</w:t>
            </w:r>
          </w:p>
        </w:tc>
        <w:tc>
          <w:tcPr>
            <w:tcW w:w="0" w:type="auto"/>
            <w:vAlign w:val="center"/>
            <w:hideMark/>
          </w:tcPr>
          <w:p w14:paraId="616F353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$983</w:t>
            </w:r>
          </w:p>
        </w:tc>
      </w:tr>
      <w:tr w:rsidR="00242DFB" w:rsidRPr="00242DFB" w14:paraId="4715752B" w14:textId="77777777" w:rsidTr="008D5430">
        <w:trPr>
          <w:trHeight w:val="527"/>
          <w:jc w:val="center"/>
        </w:trPr>
        <w:tc>
          <w:tcPr>
            <w:tcW w:w="2423" w:type="dxa"/>
            <w:vAlign w:val="center"/>
            <w:hideMark/>
          </w:tcPr>
          <w:p w14:paraId="510EE953" w14:textId="3E3D1B85" w:rsidR="00242DFB" w:rsidRPr="00242DFB" w:rsidRDefault="00242DFB" w:rsidP="005B2285">
            <w:pPr>
              <w:jc w:val="center"/>
              <w:rPr>
                <w:rFonts w:ascii="Arial" w:hAnsi="Arial" w:cs="Arial"/>
                <w:color w:val="000000"/>
                <w:sz w:val="16"/>
                <w:szCs w:val="16"/>
              </w:rPr>
            </w:pPr>
            <w:r w:rsidRPr="00242DFB">
              <w:rPr>
                <w:rFonts w:ascii="Arial" w:hAnsi="Arial" w:cs="Arial"/>
                <w:b/>
                <w:bCs/>
                <w:color w:val="000000"/>
                <w:sz w:val="16"/>
                <w:szCs w:val="16"/>
              </w:rPr>
              <w:t>Total,</w:t>
            </w:r>
            <w:r w:rsidRPr="00242DFB">
              <w:rPr>
                <w:rFonts w:ascii="Arial" w:hAnsi="Arial" w:cs="Arial"/>
                <w:b/>
                <w:bCs/>
                <w:color w:val="000000"/>
                <w:sz w:val="16"/>
                <w:szCs w:val="16"/>
              </w:rPr>
              <w:t xml:space="preserve"> pasivos</w:t>
            </w:r>
          </w:p>
        </w:tc>
        <w:tc>
          <w:tcPr>
            <w:tcW w:w="0" w:type="auto"/>
            <w:vAlign w:val="center"/>
            <w:hideMark/>
          </w:tcPr>
          <w:p w14:paraId="4419EA80"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$404.258</w:t>
            </w:r>
          </w:p>
        </w:tc>
        <w:tc>
          <w:tcPr>
            <w:tcW w:w="0" w:type="auto"/>
            <w:vAlign w:val="center"/>
            <w:hideMark/>
          </w:tcPr>
          <w:p w14:paraId="3145F6B6"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$443.420</w:t>
            </w:r>
          </w:p>
        </w:tc>
        <w:tc>
          <w:tcPr>
            <w:tcW w:w="0" w:type="auto"/>
            <w:vAlign w:val="center"/>
            <w:hideMark/>
          </w:tcPr>
          <w:p w14:paraId="64165F29"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$449.729</w:t>
            </w:r>
          </w:p>
        </w:tc>
        <w:tc>
          <w:tcPr>
            <w:tcW w:w="0" w:type="auto"/>
            <w:vAlign w:val="center"/>
            <w:hideMark/>
          </w:tcPr>
          <w:p w14:paraId="494D86D4"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$452.326</w:t>
            </w:r>
          </w:p>
        </w:tc>
        <w:tc>
          <w:tcPr>
            <w:tcW w:w="0" w:type="auto"/>
            <w:vAlign w:val="center"/>
            <w:hideMark/>
          </w:tcPr>
          <w:p w14:paraId="3E3A522D"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$470.643</w:t>
            </w:r>
          </w:p>
        </w:tc>
        <w:tc>
          <w:tcPr>
            <w:tcW w:w="0" w:type="auto"/>
            <w:vAlign w:val="center"/>
            <w:hideMark/>
          </w:tcPr>
          <w:p w14:paraId="5E6F560C"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$460.233</w:t>
            </w:r>
          </w:p>
        </w:tc>
        <w:tc>
          <w:tcPr>
            <w:tcW w:w="0" w:type="auto"/>
            <w:vAlign w:val="center"/>
            <w:hideMark/>
          </w:tcPr>
          <w:p w14:paraId="7044F20F"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$490.208</w:t>
            </w:r>
          </w:p>
        </w:tc>
        <w:tc>
          <w:tcPr>
            <w:tcW w:w="0" w:type="auto"/>
            <w:vAlign w:val="center"/>
            <w:hideMark/>
          </w:tcPr>
          <w:p w14:paraId="20071247"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$498.257</w:t>
            </w:r>
          </w:p>
        </w:tc>
        <w:tc>
          <w:tcPr>
            <w:tcW w:w="0" w:type="auto"/>
            <w:vAlign w:val="center"/>
            <w:hideMark/>
          </w:tcPr>
          <w:p w14:paraId="4A54E5C4"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$515.556</w:t>
            </w:r>
          </w:p>
        </w:tc>
        <w:tc>
          <w:tcPr>
            <w:tcW w:w="0" w:type="auto"/>
            <w:vAlign w:val="center"/>
            <w:hideMark/>
          </w:tcPr>
          <w:p w14:paraId="35FF5DFB"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$514.052</w:t>
            </w:r>
          </w:p>
        </w:tc>
        <w:tc>
          <w:tcPr>
            <w:tcW w:w="0" w:type="auto"/>
            <w:vAlign w:val="center"/>
            <w:hideMark/>
          </w:tcPr>
          <w:p w14:paraId="20C52E7E"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$452.442</w:t>
            </w:r>
          </w:p>
        </w:tc>
        <w:tc>
          <w:tcPr>
            <w:tcW w:w="0" w:type="auto"/>
            <w:vAlign w:val="center"/>
            <w:hideMark/>
          </w:tcPr>
          <w:p w14:paraId="4795561D"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$466.797</w:t>
            </w:r>
          </w:p>
        </w:tc>
      </w:tr>
      <w:tr w:rsidR="00A177E6" w:rsidRPr="00242DFB" w14:paraId="07507794" w14:textId="77777777" w:rsidTr="008D5430">
        <w:trPr>
          <w:trHeight w:val="542"/>
          <w:jc w:val="center"/>
        </w:trPr>
        <w:tc>
          <w:tcPr>
            <w:tcW w:w="13036" w:type="dxa"/>
            <w:gridSpan w:val="13"/>
            <w:vAlign w:val="center"/>
            <w:hideMark/>
          </w:tcPr>
          <w:p w14:paraId="665C8B14" w14:textId="7745F337" w:rsidR="00A177E6" w:rsidRPr="00242DFB" w:rsidRDefault="00A177E6" w:rsidP="005B2285">
            <w:pPr>
              <w:jc w:val="center"/>
              <w:rPr>
                <w:rFonts w:ascii="Arial" w:hAnsi="Arial" w:cs="Arial"/>
                <w:color w:val="000000"/>
                <w:sz w:val="16"/>
                <w:szCs w:val="16"/>
              </w:rPr>
            </w:pPr>
            <w:r w:rsidRPr="00242DFB">
              <w:rPr>
                <w:rFonts w:ascii="Arial" w:hAnsi="Arial" w:cs="Arial"/>
                <w:b/>
                <w:bCs/>
                <w:color w:val="000000"/>
                <w:sz w:val="16"/>
                <w:szCs w:val="16"/>
              </w:rPr>
              <w:t>PATRIMONIO</w:t>
            </w:r>
          </w:p>
        </w:tc>
      </w:tr>
      <w:tr w:rsidR="00242DFB" w:rsidRPr="00242DFB" w14:paraId="23F4CEF7" w14:textId="77777777" w:rsidTr="008D5430">
        <w:trPr>
          <w:trHeight w:val="808"/>
          <w:jc w:val="center"/>
        </w:trPr>
        <w:tc>
          <w:tcPr>
            <w:tcW w:w="2423" w:type="dxa"/>
            <w:vAlign w:val="center"/>
            <w:hideMark/>
          </w:tcPr>
          <w:p w14:paraId="35081F2A"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Capital suscrito y pagado</w:t>
            </w:r>
          </w:p>
        </w:tc>
        <w:tc>
          <w:tcPr>
            <w:tcW w:w="0" w:type="auto"/>
            <w:vAlign w:val="center"/>
            <w:hideMark/>
          </w:tcPr>
          <w:p w14:paraId="13A0632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0B08A14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652070B8"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28911EB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6253D3C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44EF7053"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30B4F87E"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29ADD989"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0D7F157E"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5F68498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3ED8C5A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$664.220</w:t>
            </w:r>
          </w:p>
        </w:tc>
        <w:tc>
          <w:tcPr>
            <w:tcW w:w="0" w:type="auto"/>
            <w:vAlign w:val="center"/>
            <w:hideMark/>
          </w:tcPr>
          <w:p w14:paraId="1D24B307"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$664.220</w:t>
            </w:r>
          </w:p>
        </w:tc>
      </w:tr>
      <w:tr w:rsidR="00242DFB" w:rsidRPr="00242DFB" w14:paraId="0866DBBA" w14:textId="77777777" w:rsidTr="008D5430">
        <w:trPr>
          <w:trHeight w:val="263"/>
          <w:jc w:val="center"/>
        </w:trPr>
        <w:tc>
          <w:tcPr>
            <w:tcW w:w="2423" w:type="dxa"/>
            <w:vAlign w:val="center"/>
            <w:hideMark/>
          </w:tcPr>
          <w:p w14:paraId="01B48EC9"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Reservas</w:t>
            </w:r>
          </w:p>
        </w:tc>
        <w:tc>
          <w:tcPr>
            <w:tcW w:w="0" w:type="auto"/>
            <w:vAlign w:val="center"/>
            <w:hideMark/>
          </w:tcPr>
          <w:p w14:paraId="06D65937"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68293C3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10F710E4"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714FB10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1946335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352CE25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15F39A2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3D6E1B7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441FA441"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0CED222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004462D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$57</w:t>
            </w:r>
          </w:p>
        </w:tc>
        <w:tc>
          <w:tcPr>
            <w:tcW w:w="0" w:type="auto"/>
            <w:vAlign w:val="center"/>
            <w:hideMark/>
          </w:tcPr>
          <w:p w14:paraId="5A91048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$57</w:t>
            </w:r>
          </w:p>
        </w:tc>
      </w:tr>
      <w:tr w:rsidR="00242DFB" w:rsidRPr="00242DFB" w14:paraId="4DFAD14A" w14:textId="77777777" w:rsidTr="008D5430">
        <w:trPr>
          <w:trHeight w:val="1353"/>
          <w:jc w:val="center"/>
        </w:trPr>
        <w:tc>
          <w:tcPr>
            <w:tcW w:w="2423" w:type="dxa"/>
            <w:vAlign w:val="center"/>
            <w:hideMark/>
          </w:tcPr>
          <w:p w14:paraId="6D083107"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Resultados de ejercicios anteriores</w:t>
            </w:r>
          </w:p>
        </w:tc>
        <w:tc>
          <w:tcPr>
            <w:tcW w:w="0" w:type="auto"/>
            <w:vAlign w:val="center"/>
            <w:hideMark/>
          </w:tcPr>
          <w:p w14:paraId="6E4DDE2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3C50DE94"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0577AE3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5B62E3F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7BCF99B2"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6648393F"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7BC9223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6E3198C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7FBDEDC4"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34576753"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18239D04"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-$555.014</w:t>
            </w:r>
          </w:p>
        </w:tc>
        <w:tc>
          <w:tcPr>
            <w:tcW w:w="0" w:type="auto"/>
            <w:vAlign w:val="center"/>
            <w:hideMark/>
          </w:tcPr>
          <w:p w14:paraId="294B6F5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-$555.014</w:t>
            </w:r>
          </w:p>
        </w:tc>
      </w:tr>
      <w:tr w:rsidR="00242DFB" w:rsidRPr="00242DFB" w14:paraId="784A4FBA" w14:textId="77777777" w:rsidTr="008D5430">
        <w:trPr>
          <w:trHeight w:val="808"/>
          <w:jc w:val="center"/>
        </w:trPr>
        <w:tc>
          <w:tcPr>
            <w:tcW w:w="2423" w:type="dxa"/>
            <w:vAlign w:val="center"/>
            <w:hideMark/>
          </w:tcPr>
          <w:p w14:paraId="2A3BF3AD" w14:textId="77777777" w:rsidR="00242DFB" w:rsidRPr="00242DFB" w:rsidRDefault="00242DFB" w:rsidP="005B2285">
            <w:pPr>
              <w:jc w:val="center"/>
              <w:rPr>
                <w:rFonts w:ascii="Arial" w:hAnsi="Arial" w:cs="Arial"/>
                <w:color w:val="000000"/>
                <w:sz w:val="16"/>
                <w:szCs w:val="16"/>
              </w:rPr>
            </w:pPr>
            <w:r w:rsidRPr="00242DFB">
              <w:rPr>
                <w:rFonts w:ascii="Arial" w:hAnsi="Arial" w:cs="Arial"/>
                <w:color w:val="000000"/>
                <w:sz w:val="16"/>
                <w:szCs w:val="16"/>
              </w:rPr>
              <w:t>Resultados del ejercicio</w:t>
            </w:r>
          </w:p>
        </w:tc>
        <w:tc>
          <w:tcPr>
            <w:tcW w:w="0" w:type="auto"/>
            <w:vAlign w:val="center"/>
            <w:hideMark/>
          </w:tcPr>
          <w:p w14:paraId="59000DFC"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-$42.024</w:t>
            </w:r>
          </w:p>
        </w:tc>
        <w:tc>
          <w:tcPr>
            <w:tcW w:w="0" w:type="auto"/>
            <w:vAlign w:val="center"/>
            <w:hideMark/>
          </w:tcPr>
          <w:p w14:paraId="72256A17"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-$64.873</w:t>
            </w:r>
          </w:p>
        </w:tc>
        <w:tc>
          <w:tcPr>
            <w:tcW w:w="0" w:type="auto"/>
            <w:vAlign w:val="center"/>
            <w:hideMark/>
          </w:tcPr>
          <w:p w14:paraId="2063E3A0"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-$75.145</w:t>
            </w:r>
          </w:p>
        </w:tc>
        <w:tc>
          <w:tcPr>
            <w:tcW w:w="0" w:type="auto"/>
            <w:vAlign w:val="center"/>
            <w:hideMark/>
          </w:tcPr>
          <w:p w14:paraId="332040ED"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-$80.308</w:t>
            </w:r>
          </w:p>
        </w:tc>
        <w:tc>
          <w:tcPr>
            <w:tcW w:w="0" w:type="auto"/>
            <w:vAlign w:val="center"/>
            <w:hideMark/>
          </w:tcPr>
          <w:p w14:paraId="776788BB"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4"/>
                <w:szCs w:val="14"/>
              </w:rPr>
              <w:t>-$106.269</w:t>
            </w:r>
          </w:p>
        </w:tc>
        <w:tc>
          <w:tcPr>
            <w:tcW w:w="0" w:type="auto"/>
            <w:vAlign w:val="center"/>
            <w:hideMark/>
          </w:tcPr>
          <w:p w14:paraId="59F55675"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-$85.663</w:t>
            </w:r>
          </w:p>
        </w:tc>
        <w:tc>
          <w:tcPr>
            <w:tcW w:w="0" w:type="auto"/>
            <w:vAlign w:val="center"/>
            <w:hideMark/>
          </w:tcPr>
          <w:p w14:paraId="3402AF54" w14:textId="77777777" w:rsidR="00242DFB" w:rsidRPr="00242DFB" w:rsidRDefault="00242DFB" w:rsidP="005B2285">
            <w:pPr>
              <w:jc w:val="both"/>
              <w:rPr>
                <w:rFonts w:ascii="Arial" w:hAnsi="Arial" w:cs="Arial"/>
                <w:color w:val="000000"/>
                <w:sz w:val="14"/>
                <w:szCs w:val="14"/>
              </w:rPr>
            </w:pPr>
            <w:r w:rsidRPr="00242DFB">
              <w:rPr>
                <w:rFonts w:ascii="Arial" w:hAnsi="Arial" w:cs="Arial"/>
                <w:color w:val="000000"/>
                <w:sz w:val="14"/>
                <w:szCs w:val="14"/>
              </w:rPr>
              <w:t>-$103.488</w:t>
            </w:r>
          </w:p>
        </w:tc>
        <w:tc>
          <w:tcPr>
            <w:tcW w:w="0" w:type="auto"/>
            <w:vAlign w:val="center"/>
            <w:hideMark/>
          </w:tcPr>
          <w:p w14:paraId="660D07C6" w14:textId="77777777" w:rsidR="00242DFB" w:rsidRPr="00242DFB" w:rsidRDefault="00242DFB" w:rsidP="005B2285">
            <w:pPr>
              <w:jc w:val="both"/>
              <w:rPr>
                <w:rFonts w:ascii="Arial" w:hAnsi="Arial" w:cs="Arial"/>
                <w:color w:val="000000"/>
                <w:sz w:val="14"/>
                <w:szCs w:val="14"/>
              </w:rPr>
            </w:pPr>
            <w:r w:rsidRPr="00242DFB">
              <w:rPr>
                <w:rFonts w:ascii="Arial" w:hAnsi="Arial" w:cs="Arial"/>
                <w:color w:val="000000"/>
                <w:sz w:val="14"/>
                <w:szCs w:val="14"/>
              </w:rPr>
              <w:t>-$109.059</w:t>
            </w:r>
          </w:p>
        </w:tc>
        <w:tc>
          <w:tcPr>
            <w:tcW w:w="0" w:type="auto"/>
            <w:vAlign w:val="center"/>
            <w:hideMark/>
          </w:tcPr>
          <w:p w14:paraId="1CF0241A"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-$87.527</w:t>
            </w:r>
          </w:p>
        </w:tc>
        <w:tc>
          <w:tcPr>
            <w:tcW w:w="0" w:type="auto"/>
            <w:vAlign w:val="center"/>
            <w:hideMark/>
          </w:tcPr>
          <w:p w14:paraId="43A5C5DF" w14:textId="77777777" w:rsidR="00242DFB" w:rsidRPr="00242DFB" w:rsidRDefault="00242DFB" w:rsidP="005B2285">
            <w:pPr>
              <w:jc w:val="both"/>
              <w:rPr>
                <w:rFonts w:ascii="Arial" w:hAnsi="Arial" w:cs="Arial"/>
                <w:color w:val="000000"/>
                <w:sz w:val="14"/>
                <w:szCs w:val="14"/>
              </w:rPr>
            </w:pPr>
            <w:r w:rsidRPr="00242DFB">
              <w:rPr>
                <w:rFonts w:ascii="Arial" w:hAnsi="Arial" w:cs="Arial"/>
                <w:color w:val="000000"/>
                <w:sz w:val="14"/>
                <w:szCs w:val="14"/>
              </w:rPr>
              <w:t>-$106.100</w:t>
            </w:r>
          </w:p>
        </w:tc>
        <w:tc>
          <w:tcPr>
            <w:tcW w:w="0" w:type="auto"/>
            <w:vAlign w:val="center"/>
            <w:hideMark/>
          </w:tcPr>
          <w:p w14:paraId="49A4E057"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-$82.544</w:t>
            </w:r>
          </w:p>
        </w:tc>
        <w:tc>
          <w:tcPr>
            <w:tcW w:w="0" w:type="auto"/>
            <w:vAlign w:val="center"/>
            <w:hideMark/>
          </w:tcPr>
          <w:p w14:paraId="553F4BC3" w14:textId="77777777" w:rsidR="00242DFB" w:rsidRPr="00242DFB" w:rsidRDefault="00242DFB" w:rsidP="005B2285">
            <w:pPr>
              <w:jc w:val="both"/>
              <w:rPr>
                <w:rFonts w:ascii="Arial" w:hAnsi="Arial" w:cs="Arial"/>
                <w:color w:val="000000"/>
                <w:sz w:val="16"/>
                <w:szCs w:val="16"/>
              </w:rPr>
            </w:pPr>
            <w:r w:rsidRPr="00242DFB">
              <w:rPr>
                <w:rFonts w:ascii="Arial" w:hAnsi="Arial" w:cs="Arial"/>
                <w:color w:val="000000"/>
                <w:sz w:val="16"/>
                <w:szCs w:val="16"/>
              </w:rPr>
              <w:t>-$90.940</w:t>
            </w:r>
          </w:p>
        </w:tc>
      </w:tr>
      <w:tr w:rsidR="00242DFB" w:rsidRPr="00242DFB" w14:paraId="796531E8" w14:textId="77777777" w:rsidTr="008D5430">
        <w:trPr>
          <w:trHeight w:val="793"/>
          <w:jc w:val="center"/>
        </w:trPr>
        <w:tc>
          <w:tcPr>
            <w:tcW w:w="2423" w:type="dxa"/>
            <w:vAlign w:val="center"/>
            <w:hideMark/>
          </w:tcPr>
          <w:p w14:paraId="55E1953F" w14:textId="7D5D3709" w:rsidR="00242DFB" w:rsidRPr="00242DFB" w:rsidRDefault="00A177E6" w:rsidP="005B2285">
            <w:pPr>
              <w:jc w:val="center"/>
              <w:rPr>
                <w:rFonts w:ascii="Arial" w:hAnsi="Arial" w:cs="Arial"/>
                <w:color w:val="000000"/>
                <w:sz w:val="16"/>
                <w:szCs w:val="16"/>
              </w:rPr>
            </w:pPr>
            <w:r w:rsidRPr="00242DFB">
              <w:rPr>
                <w:rFonts w:ascii="Arial" w:hAnsi="Arial" w:cs="Arial"/>
                <w:b/>
                <w:bCs/>
                <w:color w:val="000000"/>
                <w:sz w:val="16"/>
                <w:szCs w:val="16"/>
              </w:rPr>
              <w:t>Total,</w:t>
            </w:r>
            <w:r w:rsidR="00242DFB" w:rsidRPr="00242DFB">
              <w:rPr>
                <w:rFonts w:ascii="Arial" w:hAnsi="Arial" w:cs="Arial"/>
                <w:b/>
                <w:bCs/>
                <w:color w:val="000000"/>
                <w:sz w:val="16"/>
                <w:szCs w:val="16"/>
              </w:rPr>
              <w:t xml:space="preserve"> patrimonio</w:t>
            </w:r>
          </w:p>
        </w:tc>
        <w:tc>
          <w:tcPr>
            <w:tcW w:w="0" w:type="auto"/>
            <w:vAlign w:val="center"/>
            <w:hideMark/>
          </w:tcPr>
          <w:p w14:paraId="4A276355"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$67.239</w:t>
            </w:r>
          </w:p>
        </w:tc>
        <w:tc>
          <w:tcPr>
            <w:tcW w:w="0" w:type="auto"/>
            <w:vAlign w:val="center"/>
            <w:hideMark/>
          </w:tcPr>
          <w:p w14:paraId="641A9EBA"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$44.390</w:t>
            </w:r>
          </w:p>
        </w:tc>
        <w:tc>
          <w:tcPr>
            <w:tcW w:w="0" w:type="auto"/>
            <w:vAlign w:val="center"/>
            <w:hideMark/>
          </w:tcPr>
          <w:p w14:paraId="6C482028"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$34.118</w:t>
            </w:r>
          </w:p>
        </w:tc>
        <w:tc>
          <w:tcPr>
            <w:tcW w:w="0" w:type="auto"/>
            <w:vAlign w:val="center"/>
            <w:hideMark/>
          </w:tcPr>
          <w:p w14:paraId="26068F86"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$28.955</w:t>
            </w:r>
          </w:p>
        </w:tc>
        <w:tc>
          <w:tcPr>
            <w:tcW w:w="0" w:type="auto"/>
            <w:vAlign w:val="center"/>
            <w:hideMark/>
          </w:tcPr>
          <w:p w14:paraId="64BCDE38"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$2.994</w:t>
            </w:r>
          </w:p>
        </w:tc>
        <w:tc>
          <w:tcPr>
            <w:tcW w:w="0" w:type="auto"/>
            <w:vAlign w:val="center"/>
            <w:hideMark/>
          </w:tcPr>
          <w:p w14:paraId="3CA602AE"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$23.600</w:t>
            </w:r>
          </w:p>
        </w:tc>
        <w:tc>
          <w:tcPr>
            <w:tcW w:w="0" w:type="auto"/>
            <w:vAlign w:val="center"/>
            <w:hideMark/>
          </w:tcPr>
          <w:p w14:paraId="47C19C1C"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$5.775</w:t>
            </w:r>
          </w:p>
        </w:tc>
        <w:tc>
          <w:tcPr>
            <w:tcW w:w="0" w:type="auto"/>
            <w:vAlign w:val="center"/>
            <w:hideMark/>
          </w:tcPr>
          <w:p w14:paraId="698EC246"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$204</w:t>
            </w:r>
          </w:p>
        </w:tc>
        <w:tc>
          <w:tcPr>
            <w:tcW w:w="0" w:type="auto"/>
            <w:vAlign w:val="center"/>
            <w:hideMark/>
          </w:tcPr>
          <w:p w14:paraId="24BFEB0C"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$21.736</w:t>
            </w:r>
          </w:p>
        </w:tc>
        <w:tc>
          <w:tcPr>
            <w:tcW w:w="0" w:type="auto"/>
            <w:vAlign w:val="center"/>
            <w:hideMark/>
          </w:tcPr>
          <w:p w14:paraId="71A8E93F"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$3.163</w:t>
            </w:r>
          </w:p>
        </w:tc>
        <w:tc>
          <w:tcPr>
            <w:tcW w:w="0" w:type="auto"/>
            <w:vAlign w:val="center"/>
            <w:hideMark/>
          </w:tcPr>
          <w:p w14:paraId="7809176F"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$26.719</w:t>
            </w:r>
          </w:p>
        </w:tc>
        <w:tc>
          <w:tcPr>
            <w:tcW w:w="0" w:type="auto"/>
            <w:vAlign w:val="center"/>
            <w:hideMark/>
          </w:tcPr>
          <w:p w14:paraId="0FD4FFC7"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$18.323</w:t>
            </w:r>
          </w:p>
        </w:tc>
      </w:tr>
      <w:tr w:rsidR="00242DFB" w:rsidRPr="00242DFB" w14:paraId="0881442E" w14:textId="77777777" w:rsidTr="008D5430">
        <w:trPr>
          <w:trHeight w:val="66"/>
          <w:jc w:val="center"/>
        </w:trPr>
        <w:tc>
          <w:tcPr>
            <w:tcW w:w="2423" w:type="dxa"/>
            <w:vAlign w:val="center"/>
            <w:hideMark/>
          </w:tcPr>
          <w:p w14:paraId="3A388F76" w14:textId="55C5BA19" w:rsidR="00242DFB" w:rsidRPr="00242DFB" w:rsidRDefault="00A177E6" w:rsidP="005B2285">
            <w:pPr>
              <w:jc w:val="center"/>
              <w:rPr>
                <w:rFonts w:ascii="Arial" w:hAnsi="Arial" w:cs="Arial"/>
                <w:color w:val="000000"/>
                <w:sz w:val="16"/>
                <w:szCs w:val="16"/>
              </w:rPr>
            </w:pPr>
            <w:r w:rsidRPr="00242DFB">
              <w:rPr>
                <w:rFonts w:ascii="Arial" w:hAnsi="Arial" w:cs="Arial"/>
                <w:b/>
                <w:bCs/>
                <w:color w:val="000000"/>
                <w:sz w:val="16"/>
                <w:szCs w:val="16"/>
              </w:rPr>
              <w:t>Total,</w:t>
            </w:r>
            <w:r w:rsidR="00242DFB" w:rsidRPr="00242DFB">
              <w:rPr>
                <w:rFonts w:ascii="Arial" w:hAnsi="Arial" w:cs="Arial"/>
                <w:b/>
                <w:bCs/>
                <w:color w:val="000000"/>
                <w:sz w:val="16"/>
                <w:szCs w:val="16"/>
              </w:rPr>
              <w:t xml:space="preserve"> pasivo y patrimonio</w:t>
            </w:r>
          </w:p>
        </w:tc>
        <w:tc>
          <w:tcPr>
            <w:tcW w:w="0" w:type="auto"/>
            <w:vAlign w:val="center"/>
            <w:hideMark/>
          </w:tcPr>
          <w:p w14:paraId="26E47736"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$471.497</w:t>
            </w:r>
          </w:p>
        </w:tc>
        <w:tc>
          <w:tcPr>
            <w:tcW w:w="0" w:type="auto"/>
            <w:vAlign w:val="center"/>
            <w:hideMark/>
          </w:tcPr>
          <w:p w14:paraId="25BE2830"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$487.810</w:t>
            </w:r>
          </w:p>
        </w:tc>
        <w:tc>
          <w:tcPr>
            <w:tcW w:w="0" w:type="auto"/>
            <w:vAlign w:val="center"/>
            <w:hideMark/>
          </w:tcPr>
          <w:p w14:paraId="0B187D8D"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$483.847</w:t>
            </w:r>
          </w:p>
        </w:tc>
        <w:tc>
          <w:tcPr>
            <w:tcW w:w="0" w:type="auto"/>
            <w:vAlign w:val="center"/>
            <w:hideMark/>
          </w:tcPr>
          <w:p w14:paraId="459541F8"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$481.281</w:t>
            </w:r>
          </w:p>
        </w:tc>
        <w:tc>
          <w:tcPr>
            <w:tcW w:w="0" w:type="auto"/>
            <w:vAlign w:val="center"/>
            <w:hideMark/>
          </w:tcPr>
          <w:p w14:paraId="0A10A655"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$473.637</w:t>
            </w:r>
          </w:p>
        </w:tc>
        <w:tc>
          <w:tcPr>
            <w:tcW w:w="0" w:type="auto"/>
            <w:vAlign w:val="center"/>
            <w:hideMark/>
          </w:tcPr>
          <w:p w14:paraId="3BC9B92F"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$483.833</w:t>
            </w:r>
          </w:p>
        </w:tc>
        <w:tc>
          <w:tcPr>
            <w:tcW w:w="0" w:type="auto"/>
            <w:vAlign w:val="center"/>
            <w:hideMark/>
          </w:tcPr>
          <w:p w14:paraId="44D223A7"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$495.983</w:t>
            </w:r>
          </w:p>
        </w:tc>
        <w:tc>
          <w:tcPr>
            <w:tcW w:w="0" w:type="auto"/>
            <w:vAlign w:val="center"/>
            <w:hideMark/>
          </w:tcPr>
          <w:p w14:paraId="4CAEA6DE"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$498.461</w:t>
            </w:r>
          </w:p>
        </w:tc>
        <w:tc>
          <w:tcPr>
            <w:tcW w:w="0" w:type="auto"/>
            <w:vAlign w:val="center"/>
            <w:hideMark/>
          </w:tcPr>
          <w:p w14:paraId="63446D63"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$537.292</w:t>
            </w:r>
          </w:p>
        </w:tc>
        <w:tc>
          <w:tcPr>
            <w:tcW w:w="0" w:type="auto"/>
            <w:vAlign w:val="center"/>
            <w:hideMark/>
          </w:tcPr>
          <w:p w14:paraId="53254787"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$517.215</w:t>
            </w:r>
          </w:p>
        </w:tc>
        <w:tc>
          <w:tcPr>
            <w:tcW w:w="0" w:type="auto"/>
            <w:vAlign w:val="center"/>
            <w:hideMark/>
          </w:tcPr>
          <w:p w14:paraId="5835FAB5"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$479.161</w:t>
            </w:r>
          </w:p>
        </w:tc>
        <w:tc>
          <w:tcPr>
            <w:tcW w:w="0" w:type="auto"/>
            <w:vAlign w:val="center"/>
            <w:hideMark/>
          </w:tcPr>
          <w:p w14:paraId="29DFC47A" w14:textId="77777777" w:rsidR="00242DFB" w:rsidRPr="00242DFB" w:rsidRDefault="00242DFB" w:rsidP="005B2285">
            <w:pPr>
              <w:jc w:val="both"/>
              <w:rPr>
                <w:rFonts w:ascii="Arial" w:hAnsi="Arial" w:cs="Arial"/>
                <w:color w:val="000000"/>
                <w:sz w:val="16"/>
                <w:szCs w:val="16"/>
              </w:rPr>
            </w:pPr>
            <w:r w:rsidRPr="00242DFB">
              <w:rPr>
                <w:rFonts w:ascii="Arial" w:hAnsi="Arial" w:cs="Arial"/>
                <w:b/>
                <w:bCs/>
                <w:color w:val="000000"/>
                <w:sz w:val="16"/>
                <w:szCs w:val="16"/>
              </w:rPr>
              <w:t>$485.120</w:t>
            </w:r>
          </w:p>
        </w:tc>
      </w:tr>
    </w:tbl>
    <w:p w14:paraId="76BB08AB" w14:textId="77777777" w:rsidR="00FB1F53" w:rsidRDefault="00000000" w:rsidP="005B2285">
      <w:pPr>
        <w:spacing w:line="360" w:lineRule="auto"/>
        <w:jc w:val="both"/>
        <w:rPr>
          <w:rFonts w:ascii="Arial" w:hAnsi="Arial" w:cs="Arial"/>
          <w:color w:val="000000"/>
          <w:sz w:val="16"/>
          <w:szCs w:val="16"/>
        </w:rPr>
        <w:sectPr w:rsidR="00FB1F53" w:rsidSect="00FB1F53">
          <w:pgSz w:w="15840" w:h="12240" w:orient="landscape"/>
          <w:pgMar w:top="1701" w:right="1418" w:bottom="1701" w:left="1418" w:header="0" w:footer="0" w:gutter="0"/>
          <w:cols w:space="720"/>
          <w:formProt w:val="0"/>
          <w:docGrid w:linePitch="100"/>
        </w:sectPr>
      </w:pPr>
      <w:r w:rsidRPr="00AD7403">
        <w:rPr>
          <w:rFonts w:ascii="Arial" w:hAnsi="Arial" w:cs="Arial"/>
          <w:color w:val="000000"/>
          <w:sz w:val="16"/>
          <w:szCs w:val="16"/>
        </w:rPr>
        <w:t xml:space="preserve">Fuente:  Formato FT001 – Información financiera reportada (corte enero a diciembre 2025). </w:t>
      </w:r>
      <w:hyperlink r:id="rId23" w:history="1">
        <w:r w:rsidR="00AD7403" w:rsidRPr="009E51C5">
          <w:rPr>
            <w:rStyle w:val="Hipervnculo"/>
            <w:rFonts w:ascii="Arial" w:hAnsi="Arial" w:cs="Arial"/>
            <w:sz w:val="16"/>
            <w:szCs w:val="16"/>
          </w:rPr>
          <w:t>https://mapas.supersalud.gov.co/arcgisportal/apps/sites/#/datos-abiertos/search?groupIds=9a4d8d6e18a94ad4a633ef878e6c638d&amp;q=2025</w:t>
        </w:r>
      </w:hyperlink>
    </w:p>
    <w:p w14:paraId="0F13560A" w14:textId="77777777" w:rsidR="00E319E1" w:rsidRDefault="00E319E1" w:rsidP="005B2285">
      <w:pPr>
        <w:spacing w:line="360" w:lineRule="auto"/>
        <w:jc w:val="both"/>
        <w:rPr>
          <w:rFonts w:ascii="Arial" w:eastAsia="Arial" w:hAnsi="Arial" w:cs="Arial"/>
          <w:color w:val="000000" w:themeColor="text1"/>
        </w:rPr>
      </w:pPr>
      <w:r w:rsidRPr="00E319E1">
        <w:rPr>
          <w:rFonts w:ascii="Arial" w:eastAsia="Arial" w:hAnsi="Arial" w:cs="Arial"/>
          <w:color w:val="000000" w:themeColor="text1"/>
        </w:rPr>
        <w:lastRenderedPageBreak/>
        <w:t>Durante el periodo enero-diciembre de 2025, los activos totales de Capital Salud EPS-S pasaron de $471.497 millones en enero a $485.120 millones en diciembre, lo que representa un incremento neto de $13.623 millones, equivalente a una variación aproximada del 2,9%. Aunque el crecimiento del activo total es moderado, la composición interna evidencia cambios relevantes en la calidad y disponibilidad de los recursos de la entidad.</w:t>
      </w:r>
    </w:p>
    <w:p w14:paraId="4EA4B595" w14:textId="77777777" w:rsidR="00E319E1" w:rsidRPr="00E319E1" w:rsidRDefault="00E319E1" w:rsidP="005B2285">
      <w:pPr>
        <w:spacing w:line="360" w:lineRule="auto"/>
        <w:jc w:val="both"/>
        <w:rPr>
          <w:rFonts w:ascii="Arial" w:eastAsia="Arial" w:hAnsi="Arial" w:cs="Arial"/>
          <w:color w:val="000000" w:themeColor="text1"/>
        </w:rPr>
      </w:pPr>
    </w:p>
    <w:p w14:paraId="73D87620" w14:textId="77777777" w:rsidR="00E319E1" w:rsidRDefault="00E319E1" w:rsidP="005B2285">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El principal incremento se observa en las cuentas por cobrar, que pasaron de $75.678 millones en enero a $124.964 millones en diciembre, con una variación de $49.286 millones, equivalente a un aumento aproximado del 65,1%. Este comportamiento indica una mayor concentración de recursos en derechos de cobro, lo cual puede representar presión sobre la liquidez si dichos saldos no se recuperan oportunamente. De manera paralela, los avances y anticipos aumentaron de $37.415 millones a $78.271 millones, con una variación de $40.856 millones, lo que también incrementa la participación de activos cuya recuperación, legalización o aplicación depende de procesos posteriores.</w:t>
      </w:r>
    </w:p>
    <w:p w14:paraId="12E559EB" w14:textId="77777777" w:rsidR="00E319E1" w:rsidRPr="00E319E1" w:rsidRDefault="00E319E1" w:rsidP="005B2285">
      <w:pPr>
        <w:spacing w:line="360" w:lineRule="auto"/>
        <w:jc w:val="both"/>
        <w:rPr>
          <w:rFonts w:ascii="Arial" w:eastAsia="Arial" w:hAnsi="Arial" w:cs="Arial"/>
          <w:color w:val="000000" w:themeColor="text1"/>
        </w:rPr>
      </w:pPr>
    </w:p>
    <w:p w14:paraId="5238A82E" w14:textId="77777777" w:rsidR="00E319E1" w:rsidRDefault="00E319E1" w:rsidP="005B2285">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En contraste, el efectivo y equivalentes al efectivo disminuyó de $237.903 millones en enero a $196.375 millones en diciembre, con una reducción de $41.528 millones, equivalente a una caída aproximada del 17,5%. Este resultado refleja una menor disponibilidad inmediata de recursos líquidos al cierre del periodo. Adicionalmente, los activos por impuestos diferidos disminuyeron de $116.469 millones a $81.616 millones, lo que contribuye a moderar el crecimiento total del activo. En conjunto, la estructura del activo muestra una transición desde recursos líquidos hacia cuentas por cobrar y anticipos, situación que exige seguimiento a la recuperabilidad, depuración y trazabilidad de estos saldos.</w:t>
      </w:r>
    </w:p>
    <w:p w14:paraId="26B1E9AC" w14:textId="77777777" w:rsidR="00E319E1" w:rsidRPr="00E319E1" w:rsidRDefault="00E319E1" w:rsidP="005B2285">
      <w:pPr>
        <w:spacing w:line="360" w:lineRule="auto"/>
        <w:jc w:val="both"/>
        <w:rPr>
          <w:rFonts w:ascii="Arial" w:eastAsia="Arial" w:hAnsi="Arial" w:cs="Arial"/>
          <w:color w:val="000000" w:themeColor="text1"/>
        </w:rPr>
      </w:pPr>
    </w:p>
    <w:p w14:paraId="6298BE9B" w14:textId="77777777" w:rsidR="00E319E1" w:rsidRDefault="00E319E1" w:rsidP="005B2285">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 xml:space="preserve">Por el lado de la estructura financiera, los pasivos totales aumentaron de $404.258 millones en enero a $466.797 millones en diciembre de 2025, con una variación de $62.539 millones, equivalente a un incremento aproximado del 15,5%. Este crecimiento fue significativamente superior al observado en los activos, lo que </w:t>
      </w:r>
      <w:r w:rsidRPr="00E319E1">
        <w:rPr>
          <w:rFonts w:ascii="Arial" w:eastAsia="Arial" w:hAnsi="Arial" w:cs="Arial"/>
          <w:color w:val="000000" w:themeColor="text1"/>
        </w:rPr>
        <w:lastRenderedPageBreak/>
        <w:t>evidencia un mayor nivel de apalancamiento financiero y una presión creciente sobre la estructura patrimonial de la EPS.</w:t>
      </w:r>
    </w:p>
    <w:p w14:paraId="423AD97E" w14:textId="77777777" w:rsidR="00E319E1" w:rsidRPr="00E319E1" w:rsidRDefault="00E319E1" w:rsidP="005B2285">
      <w:pPr>
        <w:spacing w:line="360" w:lineRule="auto"/>
        <w:jc w:val="both"/>
        <w:rPr>
          <w:rFonts w:ascii="Arial" w:eastAsia="Arial" w:hAnsi="Arial" w:cs="Arial"/>
          <w:color w:val="000000" w:themeColor="text1"/>
        </w:rPr>
      </w:pPr>
    </w:p>
    <w:p w14:paraId="0FD8E381" w14:textId="77777777" w:rsidR="00594335" w:rsidRDefault="00E319E1" w:rsidP="005B2285">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 xml:space="preserve">Dentro del pasivo, las cuentas por pagar a proveedores médicos pasaron de $177.533 millones a $215.672 millones, con un aumento de $38.139 millones, equivalente a 21,5%. Este comportamiento es relevante por tratarse de obligaciones asociadas directamente con la red prestadora de servicios de salud, por lo que su crecimiento puede afectar la relación con prestadores, la oportunidad de pagos, la continuidad contractual y la disponibilidad efectiva de servicios para la población afiliada. </w:t>
      </w:r>
    </w:p>
    <w:p w14:paraId="239D4BFD" w14:textId="77777777" w:rsidR="00594335" w:rsidRDefault="00594335" w:rsidP="005B2285">
      <w:pPr>
        <w:spacing w:line="360" w:lineRule="auto"/>
        <w:jc w:val="both"/>
        <w:rPr>
          <w:rFonts w:ascii="Arial" w:eastAsia="Arial" w:hAnsi="Arial" w:cs="Arial"/>
          <w:color w:val="000000" w:themeColor="text1"/>
        </w:rPr>
      </w:pPr>
    </w:p>
    <w:p w14:paraId="4569B22C" w14:textId="0DD37ACF" w:rsidR="00E319E1" w:rsidRDefault="00E319E1" w:rsidP="005B2285">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A su vez, las provisiones aumentaron de $217.652 millones a $241.689 millones, con una variación de $24.037 millones, equivalente a 11,0%, lo que refleja mayores estimaciones de obligaciones o contingencias reconocidas por la entidad.</w:t>
      </w:r>
      <w:r w:rsidR="00594335">
        <w:rPr>
          <w:rFonts w:ascii="Arial" w:eastAsia="Arial" w:hAnsi="Arial" w:cs="Arial"/>
          <w:color w:val="000000" w:themeColor="text1"/>
        </w:rPr>
        <w:t xml:space="preserve"> </w:t>
      </w:r>
      <w:r w:rsidRPr="00E319E1">
        <w:rPr>
          <w:rFonts w:ascii="Arial" w:eastAsia="Arial" w:hAnsi="Arial" w:cs="Arial"/>
          <w:color w:val="000000" w:themeColor="text1"/>
        </w:rPr>
        <w:t>La relación entre total activos y total pasivos pasó de 116,6% en enero a 103,9% en diciembre de 2025. Esta reducción evidencia que el margen de cobertura contable de las obligaciones con los activos disponibles se estrechó durante el periodo. En términos prácticos, mientras en enero la entidad contaba con $1,17 de activos por cada $1 de pasivos, al cierre de diciembre esta relación se redujo a aproximadamente $1,04 por cada $1 de obligaciones. Este comportamiento muestra una disminución del margen financiero de respaldo frente al pasivo total.</w:t>
      </w:r>
    </w:p>
    <w:p w14:paraId="0574C199" w14:textId="77777777" w:rsidR="00E319E1" w:rsidRPr="00E319E1" w:rsidRDefault="00E319E1" w:rsidP="005B2285">
      <w:pPr>
        <w:spacing w:line="360" w:lineRule="auto"/>
        <w:jc w:val="both"/>
        <w:rPr>
          <w:rFonts w:ascii="Arial" w:eastAsia="Arial" w:hAnsi="Arial" w:cs="Arial"/>
          <w:color w:val="000000" w:themeColor="text1"/>
        </w:rPr>
      </w:pPr>
    </w:p>
    <w:p w14:paraId="02E50EDD" w14:textId="77777777" w:rsidR="00E319E1" w:rsidRPr="00E319E1" w:rsidRDefault="00E319E1" w:rsidP="005B2285">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El patrimonio presentó un deterioro significativo, al pasar de $67.239 millones en enero a $18.323 millones en diciembre, con una reducción de $48.916 millones, equivalente a una caída aproximada del 72,8%. Esta disminución está asociada al resultado negativo del ejercicio y a la acumulación de pérdidas, lo que debilita la solvencia patrimonial de la EPS. La participación del patrimonio dentro del total de activos se redujo de 14,3% en enero a 3,8% en diciembre, mientras que el nivel de endeudamiento, medido como pasivos sobre activos, aumentó de 85,7% a 96,2%.</w:t>
      </w:r>
    </w:p>
    <w:p w14:paraId="3B84F1D2" w14:textId="77777777" w:rsidR="00E319E1" w:rsidRDefault="00E319E1" w:rsidP="005B2285">
      <w:pPr>
        <w:spacing w:line="360" w:lineRule="auto"/>
        <w:jc w:val="both"/>
        <w:rPr>
          <w:rFonts w:ascii="Arial" w:eastAsia="Arial" w:hAnsi="Arial" w:cs="Arial"/>
          <w:color w:val="000000" w:themeColor="text1"/>
        </w:rPr>
      </w:pPr>
      <w:r w:rsidRPr="00E319E1">
        <w:rPr>
          <w:rFonts w:ascii="Arial" w:eastAsia="Arial" w:hAnsi="Arial" w:cs="Arial"/>
          <w:color w:val="000000" w:themeColor="text1"/>
        </w:rPr>
        <w:lastRenderedPageBreak/>
        <w:t xml:space="preserve">En síntesis, aunque los activos totales de Capital Salud EPS-S registraron un incremento moderado del 2,9% durante 2025, los pasivos crecieron a un ritmo mucho mayor, con una variación del 15,5%. </w:t>
      </w:r>
    </w:p>
    <w:p w14:paraId="3C446214" w14:textId="77777777" w:rsidR="00E319E1" w:rsidRDefault="00E319E1" w:rsidP="005B2285">
      <w:pPr>
        <w:spacing w:line="360" w:lineRule="auto"/>
        <w:jc w:val="both"/>
        <w:rPr>
          <w:rFonts w:ascii="Arial" w:eastAsia="Arial" w:hAnsi="Arial" w:cs="Arial"/>
          <w:color w:val="000000" w:themeColor="text1"/>
        </w:rPr>
      </w:pPr>
    </w:p>
    <w:p w14:paraId="2877F5B3" w14:textId="46C42A03" w:rsidR="00E319E1" w:rsidRDefault="00E319E1" w:rsidP="005B2285">
      <w:pPr>
        <w:spacing w:line="360" w:lineRule="auto"/>
        <w:jc w:val="both"/>
        <w:rPr>
          <w:rFonts w:ascii="Arial" w:eastAsia="Arial" w:hAnsi="Arial" w:cs="Arial"/>
          <w:color w:val="000000" w:themeColor="text1"/>
        </w:rPr>
      </w:pPr>
      <w:r w:rsidRPr="00E319E1">
        <w:rPr>
          <w:rFonts w:ascii="Arial" w:eastAsia="Arial" w:hAnsi="Arial" w:cs="Arial"/>
          <w:color w:val="000000" w:themeColor="text1"/>
        </w:rPr>
        <w:t>Este comportamiento evidencia una presión financiera creciente, caracterizada por menor liquidez inmediata, aumento de cuentas por cobrar, mayor carga de obligaciones con proveedores médicos, incremento de provisiones y deterioro patrimonial. En consecuencia, el escenario financiero de la EPS amerita seguimiento estrecho, con énfasis en recuperación de cartera, control del gasto asistencial, depuración de anticipos, gestión de pasivos con la red prestadora, fortalecimiento patrimonial y formulación de medidas orientadas a preservar la sostenibilidad operativa y la continuidad en la prestación de servicios de salud.</w:t>
      </w:r>
    </w:p>
    <w:p w14:paraId="0D81EDF0" w14:textId="77777777" w:rsidR="00375B60" w:rsidRPr="00E319E1" w:rsidRDefault="00375B60" w:rsidP="005B2285">
      <w:pPr>
        <w:spacing w:line="360" w:lineRule="auto"/>
        <w:jc w:val="both"/>
        <w:rPr>
          <w:rFonts w:ascii="Arial" w:eastAsia="Arial" w:hAnsi="Arial" w:cs="Arial"/>
          <w:color w:val="000000" w:themeColor="text1"/>
        </w:rPr>
      </w:pPr>
    </w:p>
    <w:p w14:paraId="0E6CF599" w14:textId="12B49F41" w:rsidR="00375B60" w:rsidRPr="00375B60" w:rsidRDefault="006D1139" w:rsidP="005B2285">
      <w:pPr>
        <w:pStyle w:val="Descripcin"/>
        <w:keepNext/>
        <w:spacing w:after="0"/>
        <w:jc w:val="center"/>
        <w:rPr>
          <w:rFonts w:ascii="Arial" w:hAnsi="Arial" w:cs="Arial"/>
          <w:color w:val="000000" w:themeColor="text1"/>
          <w:sz w:val="24"/>
          <w:szCs w:val="24"/>
        </w:rPr>
      </w:pPr>
      <w:bookmarkStart w:id="110" w:name="_Toc233568861"/>
      <w:r>
        <w:rPr>
          <w:noProof/>
        </w:rPr>
        <w:drawing>
          <wp:anchor distT="0" distB="0" distL="114300" distR="114300" simplePos="0" relativeHeight="251667968" behindDoc="0" locked="0" layoutInCell="1" allowOverlap="1" wp14:anchorId="27503317" wp14:editId="7E617BE6">
            <wp:simplePos x="0" y="0"/>
            <wp:positionH relativeFrom="column">
              <wp:posOffset>-803910</wp:posOffset>
            </wp:positionH>
            <wp:positionV relativeFrom="paragraph">
              <wp:posOffset>467360</wp:posOffset>
            </wp:positionV>
            <wp:extent cx="7315200" cy="3629025"/>
            <wp:effectExtent l="0" t="0" r="0" b="0"/>
            <wp:wrapSquare wrapText="bothSides"/>
            <wp:docPr id="26" name="Gráfico 26">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margin">
              <wp14:pctWidth>0</wp14:pctWidth>
            </wp14:sizeRelH>
          </wp:anchor>
        </w:drawing>
      </w:r>
      <w:r w:rsidR="00375B60" w:rsidRPr="00375B60">
        <w:rPr>
          <w:rFonts w:ascii="Arial" w:hAnsi="Arial" w:cs="Arial"/>
          <w:color w:val="000000" w:themeColor="text1"/>
          <w:sz w:val="24"/>
          <w:szCs w:val="24"/>
        </w:rPr>
        <w:t xml:space="preserve">Gráfica </w:t>
      </w:r>
      <w:r w:rsidR="00375B60" w:rsidRPr="00375B60">
        <w:rPr>
          <w:rFonts w:ascii="Arial" w:hAnsi="Arial" w:cs="Arial"/>
          <w:color w:val="000000" w:themeColor="text1"/>
          <w:sz w:val="24"/>
          <w:szCs w:val="24"/>
        </w:rPr>
        <w:fldChar w:fldCharType="begin"/>
      </w:r>
      <w:r w:rsidR="00375B60" w:rsidRPr="00375B60">
        <w:rPr>
          <w:rFonts w:ascii="Arial" w:hAnsi="Arial" w:cs="Arial"/>
          <w:color w:val="000000" w:themeColor="text1"/>
          <w:sz w:val="24"/>
          <w:szCs w:val="24"/>
        </w:rPr>
        <w:instrText xml:space="preserve"> SEQ Gráfica \* ARABIC </w:instrText>
      </w:r>
      <w:r w:rsidR="00375B60" w:rsidRPr="00375B60">
        <w:rPr>
          <w:rFonts w:ascii="Arial" w:hAnsi="Arial" w:cs="Arial"/>
          <w:color w:val="000000" w:themeColor="text1"/>
          <w:sz w:val="24"/>
          <w:szCs w:val="24"/>
        </w:rPr>
        <w:fldChar w:fldCharType="separate"/>
      </w:r>
      <w:r w:rsidR="004F456A">
        <w:rPr>
          <w:rFonts w:ascii="Arial" w:hAnsi="Arial" w:cs="Arial"/>
          <w:noProof/>
          <w:color w:val="000000" w:themeColor="text1"/>
          <w:sz w:val="24"/>
          <w:szCs w:val="24"/>
        </w:rPr>
        <w:t>5</w:t>
      </w:r>
      <w:r w:rsidR="00375B60" w:rsidRPr="00375B60">
        <w:rPr>
          <w:rFonts w:ascii="Arial" w:hAnsi="Arial" w:cs="Arial"/>
          <w:color w:val="000000" w:themeColor="text1"/>
          <w:sz w:val="24"/>
          <w:szCs w:val="24"/>
        </w:rPr>
        <w:fldChar w:fldCharType="end"/>
      </w:r>
      <w:r w:rsidR="00375B60" w:rsidRPr="00375B60">
        <w:rPr>
          <w:rFonts w:ascii="Arial" w:hAnsi="Arial" w:cs="Arial"/>
          <w:color w:val="000000" w:themeColor="text1"/>
          <w:sz w:val="24"/>
          <w:szCs w:val="24"/>
        </w:rPr>
        <w:t>. Total, de activos y pasivos, cifras en millones de pesos colombianos</w:t>
      </w:r>
      <w:bookmarkEnd w:id="110"/>
    </w:p>
    <w:p w14:paraId="16E083D3" w14:textId="2B168E5D" w:rsidR="009F762E" w:rsidRPr="00242DFB" w:rsidRDefault="009F762E" w:rsidP="005B2285">
      <w:pPr>
        <w:spacing w:line="360" w:lineRule="auto"/>
        <w:jc w:val="center"/>
        <w:rPr>
          <w:rFonts w:ascii="Arial" w:hAnsi="Arial" w:cs="Arial"/>
          <w:color w:val="000000" w:themeColor="text1"/>
        </w:rPr>
      </w:pPr>
    </w:p>
    <w:p w14:paraId="3E2DE921" w14:textId="77777777" w:rsidR="009F762E" w:rsidRPr="00DC2FBC" w:rsidRDefault="00000000" w:rsidP="005B2285">
      <w:pPr>
        <w:spacing w:line="360" w:lineRule="auto"/>
        <w:jc w:val="both"/>
        <w:rPr>
          <w:rFonts w:ascii="Arial" w:hAnsi="Arial" w:cs="Arial"/>
          <w:color w:val="000000" w:themeColor="text1"/>
          <w:sz w:val="16"/>
          <w:szCs w:val="16"/>
        </w:rPr>
      </w:pPr>
      <w:r w:rsidRPr="00DC2FBC">
        <w:rPr>
          <w:rFonts w:ascii="Arial" w:eastAsia="Arial" w:hAnsi="Arial" w:cs="Arial"/>
          <w:color w:val="000000"/>
          <w:sz w:val="16"/>
          <w:szCs w:val="16"/>
        </w:rPr>
        <w:t xml:space="preserve">Fuente:  Formato FT001 – Información financiera reportada (corte enero a diciembre 2025). </w:t>
      </w:r>
      <w:hyperlink r:id="rId25" w:anchor="/datos-abiertos/search?groupIds=9a4d8d6e18a94ad4a633ef878e6c638d&amp;q=2025" w:history="1">
        <w:r w:rsidRPr="00DC2FBC">
          <w:rPr>
            <w:rStyle w:val="Hipervnculo"/>
            <w:rFonts w:ascii="Arial" w:eastAsia="Arial" w:hAnsi="Arial" w:cs="Arial"/>
            <w:color w:val="000000"/>
            <w:sz w:val="16"/>
            <w:szCs w:val="16"/>
          </w:rPr>
          <w:t>https://mapas.supersalud.gov.co/arcgisportal/apps/sites/#/datos-abiertos/search?groupIds=9a4d8d6e18a94ad4a633ef878e6c638d&amp;q=2025</w:t>
        </w:r>
      </w:hyperlink>
    </w:p>
    <w:p w14:paraId="025568AA"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4D727803" w14:textId="77777777" w:rsidR="00B1210D" w:rsidRPr="0054533D" w:rsidRDefault="00B1210D" w:rsidP="005B2285">
      <w:pPr>
        <w:spacing w:line="360" w:lineRule="auto"/>
        <w:jc w:val="both"/>
        <w:rPr>
          <w:rFonts w:ascii="Arial" w:hAnsi="Arial" w:cs="Arial"/>
          <w:color w:val="000000"/>
        </w:rPr>
      </w:pPr>
      <w:r w:rsidRPr="00B1210D">
        <w:rPr>
          <w:rFonts w:ascii="Arial" w:hAnsi="Arial" w:cs="Arial"/>
          <w:color w:val="000000"/>
        </w:rPr>
        <w:lastRenderedPageBreak/>
        <w:t>La gráfica evidencia que, durante 2025, los activos totales de Capital Salud EPS-S mantuvieron un comportamiento relativamente estable, pasando de $471.497 millones en enero a $485.120 millones en diciembre, con un crecimiento neto moderado. El punto más alto se presentó en septiembre, con $537.292 millones, seguido de una disminución en octubre y noviembre, para cerrar el año con una recuperación parcial. Este comportamiento muestra que, aunque la entidad conserva una base de activos importante, su crecimiento no fue sostenido durante todo el periodo y presentó fluctuaciones asociadas principalmente a cambios en cuentas por cobrar, anticipos y efectivo disponible.</w:t>
      </w:r>
    </w:p>
    <w:p w14:paraId="2748A023" w14:textId="77777777" w:rsidR="00B1210D" w:rsidRPr="00B1210D" w:rsidRDefault="00B1210D" w:rsidP="005B2285">
      <w:pPr>
        <w:spacing w:line="360" w:lineRule="auto"/>
        <w:jc w:val="both"/>
        <w:rPr>
          <w:rFonts w:ascii="Arial" w:hAnsi="Arial" w:cs="Arial"/>
          <w:color w:val="000000"/>
        </w:rPr>
      </w:pPr>
    </w:p>
    <w:p w14:paraId="3B72F916" w14:textId="77777777" w:rsidR="00B1210D" w:rsidRPr="00B1210D" w:rsidRDefault="00B1210D" w:rsidP="005B2285">
      <w:pPr>
        <w:spacing w:line="360" w:lineRule="auto"/>
        <w:jc w:val="both"/>
        <w:rPr>
          <w:rFonts w:ascii="Arial" w:hAnsi="Arial" w:cs="Arial"/>
          <w:color w:val="000000"/>
        </w:rPr>
      </w:pPr>
      <w:r w:rsidRPr="00B1210D">
        <w:rPr>
          <w:rFonts w:ascii="Arial" w:hAnsi="Arial" w:cs="Arial"/>
          <w:color w:val="000000"/>
        </w:rPr>
        <w:t>En contraste, los pasivos totales muestran una tendencia de crecimiento más acelerada que los activos, al pasar de $404.258 millones en enero a $466.797 millones en diciembre. El pasivo alcanzó su punto máximo en septiembre, con $515.556 millones, y aunque disminuyó en noviembre, volvió a incrementarse al cierre del año. La cercanía entre las dos curvas, especialmente desde julio, evidencia una reducción progresiva del margen patrimonial y una mayor presión financiera sobre la EPS. En síntesis, la gráfica muestra que Capital Salud cerró 2025 con activos superiores a sus pasivos, pero con una brecha estrecha, lo que sugiere aumento del apalancamiento, menor holgura financiera y necesidad de seguimiento sobre liquidez, cuentas por pagar, provisiones y sostenibilidad operativa.</w:t>
      </w:r>
    </w:p>
    <w:p w14:paraId="449D2E81" w14:textId="77777777" w:rsidR="00B1210D" w:rsidRDefault="00B1210D" w:rsidP="005B2285">
      <w:pPr>
        <w:spacing w:line="360" w:lineRule="auto"/>
        <w:jc w:val="both"/>
        <w:rPr>
          <w:rFonts w:ascii="Arial" w:hAnsi="Arial" w:cs="Arial"/>
          <w:color w:val="000000"/>
        </w:rPr>
      </w:pPr>
    </w:p>
    <w:p w14:paraId="293C00A5" w14:textId="2F0A9905" w:rsidR="009F762E" w:rsidRPr="00242DFB" w:rsidRDefault="00000000" w:rsidP="005B2285">
      <w:pPr>
        <w:spacing w:line="360" w:lineRule="auto"/>
        <w:jc w:val="both"/>
        <w:rPr>
          <w:rFonts w:ascii="Arial" w:eastAsia="Arial" w:hAnsi="Arial" w:cs="Arial"/>
          <w:color w:val="000000" w:themeColor="text1"/>
        </w:rPr>
      </w:pPr>
      <w:r w:rsidRPr="00242DFB">
        <w:rPr>
          <w:rFonts w:ascii="Arial" w:hAnsi="Arial" w:cs="Arial"/>
          <w:color w:val="000000"/>
        </w:rPr>
        <w:t>En consecuencia, los estados financieros reflejan un deterioro patrimonial relevante: el patrimonio disminuye de $67.239 millones en enero a $18.323 millones en diciembre de 2025, equivalente a una reducción aproximada del 72,7%; según el siguiente detalle</w:t>
      </w:r>
      <w:r w:rsidR="00B1210D">
        <w:rPr>
          <w:rFonts w:ascii="Arial" w:hAnsi="Arial" w:cs="Arial"/>
          <w:color w:val="000000"/>
        </w:rPr>
        <w:t xml:space="preserve"> que muestra la tabla 26</w:t>
      </w:r>
      <w:r w:rsidRPr="00242DFB">
        <w:rPr>
          <w:rFonts w:ascii="Arial" w:hAnsi="Arial" w:cs="Arial"/>
          <w:color w:val="000000"/>
        </w:rPr>
        <w:t>:</w:t>
      </w:r>
    </w:p>
    <w:p w14:paraId="7DF17CD9" w14:textId="77777777" w:rsidR="009F762E"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t xml:space="preserve">   </w:t>
      </w:r>
    </w:p>
    <w:p w14:paraId="1398403D" w14:textId="0745B4B6" w:rsidR="008D64A0" w:rsidRPr="008D64A0" w:rsidRDefault="008D64A0" w:rsidP="005B2285">
      <w:pPr>
        <w:pStyle w:val="Ttulo2"/>
        <w:numPr>
          <w:ilvl w:val="1"/>
          <w:numId w:val="7"/>
        </w:numPr>
        <w:spacing w:before="0" w:line="360" w:lineRule="auto"/>
        <w:rPr>
          <w:rFonts w:ascii="Arial" w:hAnsi="Arial" w:cs="Arial"/>
          <w:b/>
          <w:bCs/>
          <w:color w:val="000000" w:themeColor="text1"/>
          <w:sz w:val="24"/>
          <w:szCs w:val="24"/>
        </w:rPr>
      </w:pPr>
      <w:bookmarkStart w:id="111" w:name="_Toc233574853"/>
      <w:r>
        <w:rPr>
          <w:rFonts w:ascii="Arial" w:hAnsi="Arial" w:cs="Arial"/>
          <w:b/>
          <w:bCs/>
          <w:color w:val="000000" w:themeColor="text1"/>
          <w:sz w:val="24"/>
          <w:szCs w:val="24"/>
        </w:rPr>
        <w:t>Patrimonio</w:t>
      </w:r>
      <w:bookmarkEnd w:id="111"/>
    </w:p>
    <w:p w14:paraId="38D16502" w14:textId="77777777" w:rsidR="008D64A0" w:rsidRDefault="008D64A0" w:rsidP="005B2285">
      <w:pPr>
        <w:spacing w:line="360" w:lineRule="auto"/>
        <w:jc w:val="both"/>
        <w:rPr>
          <w:rFonts w:ascii="Arial" w:hAnsi="Arial" w:cs="Arial"/>
          <w:color w:val="000000" w:themeColor="text1"/>
        </w:rPr>
      </w:pPr>
    </w:p>
    <w:p w14:paraId="24B7397B" w14:textId="7D1F5CAF" w:rsidR="000D0DE2" w:rsidRDefault="000D0DE2" w:rsidP="005B2285">
      <w:pPr>
        <w:spacing w:line="360" w:lineRule="auto"/>
        <w:jc w:val="both"/>
        <w:rPr>
          <w:rFonts w:ascii="Arial" w:hAnsi="Arial" w:cs="Arial"/>
          <w:color w:val="000000" w:themeColor="text1"/>
        </w:rPr>
      </w:pPr>
      <w:r w:rsidRPr="000D0DE2">
        <w:rPr>
          <w:rFonts w:ascii="Arial" w:hAnsi="Arial" w:cs="Arial"/>
          <w:color w:val="000000" w:themeColor="text1"/>
        </w:rPr>
        <w:t xml:space="preserve">Con el propósito de analizar la capacidad patrimonial de </w:t>
      </w:r>
      <w:r w:rsidRPr="000D0DE2">
        <w:rPr>
          <w:rFonts w:ascii="Arial" w:hAnsi="Arial" w:cs="Arial"/>
          <w:b/>
          <w:bCs/>
          <w:color w:val="000000" w:themeColor="text1"/>
        </w:rPr>
        <w:t>Capital Salud EPS-S</w:t>
      </w:r>
      <w:r w:rsidRPr="000D0DE2">
        <w:rPr>
          <w:rFonts w:ascii="Arial" w:hAnsi="Arial" w:cs="Arial"/>
          <w:color w:val="000000" w:themeColor="text1"/>
        </w:rPr>
        <w:t xml:space="preserve"> durante la vigencia 2025, a </w:t>
      </w:r>
      <w:r w:rsidRPr="000D0DE2">
        <w:rPr>
          <w:rFonts w:ascii="Arial" w:hAnsi="Arial" w:cs="Arial"/>
          <w:color w:val="000000" w:themeColor="text1"/>
        </w:rPr>
        <w:t>continuación,</w:t>
      </w:r>
      <w:r w:rsidRPr="000D0DE2">
        <w:rPr>
          <w:rFonts w:ascii="Arial" w:hAnsi="Arial" w:cs="Arial"/>
          <w:color w:val="000000" w:themeColor="text1"/>
        </w:rPr>
        <w:t xml:space="preserve"> se presenta</w:t>
      </w:r>
      <w:r w:rsidR="000D3C49">
        <w:rPr>
          <w:rFonts w:ascii="Arial" w:hAnsi="Arial" w:cs="Arial"/>
          <w:color w:val="000000" w:themeColor="text1"/>
        </w:rPr>
        <w:t xml:space="preserve"> en la tabla 26</w:t>
      </w:r>
      <w:r w:rsidRPr="000D0DE2">
        <w:rPr>
          <w:rFonts w:ascii="Arial" w:hAnsi="Arial" w:cs="Arial"/>
          <w:color w:val="000000" w:themeColor="text1"/>
        </w:rPr>
        <w:t xml:space="preserve"> la evolución mensual de los principales componentes del patrimonio, incluyendo el capital </w:t>
      </w:r>
      <w:r w:rsidRPr="000D0DE2">
        <w:rPr>
          <w:rFonts w:ascii="Arial" w:hAnsi="Arial" w:cs="Arial"/>
          <w:color w:val="000000" w:themeColor="text1"/>
        </w:rPr>
        <w:lastRenderedPageBreak/>
        <w:t>suscrito y pagado, las reservas, los resultados acumulados de ejercicios anteriores, el resultado del ejercicio y el total patrimonial. Esta información permite identificar el comportamiento de la solvencia contable de la entidad, el efecto de las pérdidas acumuladas sobre su estructura financiera y el margen patrimonial disponible para respaldar sus obligaciones operativas y asistenciales durante el periodo enero-diciembre de 2025.</w:t>
      </w:r>
    </w:p>
    <w:p w14:paraId="293EE0CC" w14:textId="77777777" w:rsidR="000D0DE2" w:rsidRDefault="000D0DE2" w:rsidP="005B2285">
      <w:pPr>
        <w:spacing w:line="360" w:lineRule="auto"/>
        <w:jc w:val="both"/>
        <w:rPr>
          <w:rFonts w:ascii="Arial" w:hAnsi="Arial" w:cs="Arial"/>
          <w:color w:val="000000" w:themeColor="text1"/>
        </w:rPr>
      </w:pPr>
    </w:p>
    <w:p w14:paraId="74ABD119" w14:textId="77777777" w:rsidR="000D0DE2" w:rsidRDefault="000D0DE2" w:rsidP="005B2285">
      <w:pPr>
        <w:spacing w:line="360" w:lineRule="auto"/>
        <w:jc w:val="both"/>
        <w:rPr>
          <w:rFonts w:ascii="Arial" w:hAnsi="Arial" w:cs="Arial"/>
          <w:color w:val="000000" w:themeColor="text1"/>
        </w:rPr>
      </w:pPr>
    </w:p>
    <w:p w14:paraId="7E819547" w14:textId="77777777" w:rsidR="000D0DE2" w:rsidRPr="00B1210D" w:rsidRDefault="000D0DE2" w:rsidP="005B2285">
      <w:pPr>
        <w:pStyle w:val="Descripcin"/>
        <w:keepNext/>
        <w:spacing w:after="0"/>
        <w:jc w:val="center"/>
        <w:rPr>
          <w:rFonts w:ascii="Arial" w:hAnsi="Arial" w:cs="Arial"/>
          <w:color w:val="000000" w:themeColor="text1"/>
          <w:sz w:val="24"/>
          <w:szCs w:val="24"/>
        </w:rPr>
      </w:pPr>
      <w:bookmarkStart w:id="112" w:name="_Toc233574886"/>
      <w:r w:rsidRPr="00B1210D">
        <w:rPr>
          <w:rFonts w:ascii="Arial" w:hAnsi="Arial" w:cs="Arial"/>
          <w:color w:val="000000" w:themeColor="text1"/>
          <w:sz w:val="24"/>
          <w:szCs w:val="24"/>
        </w:rPr>
        <w:t xml:space="preserve">Tabla </w:t>
      </w:r>
      <w:r w:rsidRPr="00B1210D">
        <w:rPr>
          <w:rFonts w:ascii="Arial" w:hAnsi="Arial" w:cs="Arial"/>
          <w:color w:val="000000" w:themeColor="text1"/>
          <w:sz w:val="24"/>
          <w:szCs w:val="24"/>
        </w:rPr>
        <w:fldChar w:fldCharType="begin"/>
      </w:r>
      <w:r w:rsidRPr="00B1210D">
        <w:rPr>
          <w:rFonts w:ascii="Arial" w:hAnsi="Arial" w:cs="Arial"/>
          <w:color w:val="000000" w:themeColor="text1"/>
          <w:sz w:val="24"/>
          <w:szCs w:val="24"/>
        </w:rPr>
        <w:instrText xml:space="preserve"> SEQ Tabla \* ARABIC </w:instrText>
      </w:r>
      <w:r w:rsidRPr="00B1210D">
        <w:rPr>
          <w:rFonts w:ascii="Arial" w:hAnsi="Arial" w:cs="Arial"/>
          <w:color w:val="000000" w:themeColor="text1"/>
          <w:sz w:val="24"/>
          <w:szCs w:val="24"/>
        </w:rPr>
        <w:fldChar w:fldCharType="separate"/>
      </w:r>
      <w:r w:rsidRPr="00B1210D">
        <w:rPr>
          <w:rFonts w:ascii="Arial" w:hAnsi="Arial" w:cs="Arial"/>
          <w:noProof/>
          <w:color w:val="000000" w:themeColor="text1"/>
          <w:sz w:val="24"/>
          <w:szCs w:val="24"/>
        </w:rPr>
        <w:t>26</w:t>
      </w:r>
      <w:r w:rsidRPr="00B1210D">
        <w:rPr>
          <w:rFonts w:ascii="Arial" w:hAnsi="Arial" w:cs="Arial"/>
          <w:color w:val="000000" w:themeColor="text1"/>
          <w:sz w:val="24"/>
          <w:szCs w:val="24"/>
        </w:rPr>
        <w:fldChar w:fldCharType="end"/>
      </w:r>
      <w:r w:rsidRPr="00B1210D">
        <w:rPr>
          <w:rFonts w:ascii="Arial" w:hAnsi="Arial" w:cs="Arial"/>
          <w:color w:val="000000" w:themeColor="text1"/>
          <w:sz w:val="24"/>
          <w:szCs w:val="24"/>
        </w:rPr>
        <w:t>. Patrimonio Capital Salud EPS-S, enero-diciembre de 2025, cifras en millones de pesos colombianos</w:t>
      </w:r>
      <w:bookmarkEnd w:id="112"/>
    </w:p>
    <w:tbl>
      <w:tblPr>
        <w:tblStyle w:val="Tablaconcuadrcula"/>
        <w:tblW w:w="11210" w:type="dxa"/>
        <w:jc w:val="center"/>
        <w:tblLayout w:type="fixed"/>
        <w:tblLook w:val="04A0" w:firstRow="1" w:lastRow="0" w:firstColumn="1" w:lastColumn="0" w:noHBand="0" w:noVBand="1"/>
      </w:tblPr>
      <w:tblGrid>
        <w:gridCol w:w="1139"/>
        <w:gridCol w:w="840"/>
        <w:gridCol w:w="839"/>
        <w:gridCol w:w="840"/>
        <w:gridCol w:w="838"/>
        <w:gridCol w:w="840"/>
        <w:gridCol w:w="839"/>
        <w:gridCol w:w="839"/>
        <w:gridCol w:w="839"/>
        <w:gridCol w:w="840"/>
        <w:gridCol w:w="839"/>
        <w:gridCol w:w="839"/>
        <w:gridCol w:w="839"/>
      </w:tblGrid>
      <w:tr w:rsidR="000D0DE2" w:rsidRPr="00B1210D" w14:paraId="3AB5D646" w14:textId="77777777" w:rsidTr="00FA24A6">
        <w:trPr>
          <w:cantSplit/>
          <w:trHeight w:val="320"/>
          <w:tblHeader/>
          <w:jc w:val="center"/>
        </w:trPr>
        <w:tc>
          <w:tcPr>
            <w:tcW w:w="1139" w:type="dxa"/>
            <w:vAlign w:val="center"/>
          </w:tcPr>
          <w:p w14:paraId="4C48C5E5"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Concepto</w:t>
            </w:r>
          </w:p>
        </w:tc>
        <w:tc>
          <w:tcPr>
            <w:tcW w:w="840" w:type="dxa"/>
            <w:vAlign w:val="center"/>
          </w:tcPr>
          <w:p w14:paraId="1EDCBAD5"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ene-25</w:t>
            </w:r>
          </w:p>
        </w:tc>
        <w:tc>
          <w:tcPr>
            <w:tcW w:w="839" w:type="dxa"/>
            <w:vAlign w:val="center"/>
          </w:tcPr>
          <w:p w14:paraId="14F852A6"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feb-25</w:t>
            </w:r>
          </w:p>
        </w:tc>
        <w:tc>
          <w:tcPr>
            <w:tcW w:w="840" w:type="dxa"/>
            <w:vAlign w:val="center"/>
          </w:tcPr>
          <w:p w14:paraId="158778E8"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mar-25</w:t>
            </w:r>
          </w:p>
        </w:tc>
        <w:tc>
          <w:tcPr>
            <w:tcW w:w="838" w:type="dxa"/>
            <w:vAlign w:val="center"/>
          </w:tcPr>
          <w:p w14:paraId="09362484"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abr-25</w:t>
            </w:r>
          </w:p>
        </w:tc>
        <w:tc>
          <w:tcPr>
            <w:tcW w:w="840" w:type="dxa"/>
            <w:vAlign w:val="center"/>
          </w:tcPr>
          <w:p w14:paraId="7D239352"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may-25</w:t>
            </w:r>
          </w:p>
        </w:tc>
        <w:tc>
          <w:tcPr>
            <w:tcW w:w="839" w:type="dxa"/>
            <w:vAlign w:val="center"/>
          </w:tcPr>
          <w:p w14:paraId="58D7B9E8"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jun-25</w:t>
            </w:r>
          </w:p>
        </w:tc>
        <w:tc>
          <w:tcPr>
            <w:tcW w:w="839" w:type="dxa"/>
            <w:vAlign w:val="center"/>
          </w:tcPr>
          <w:p w14:paraId="6703E2B4"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jul-25</w:t>
            </w:r>
          </w:p>
        </w:tc>
        <w:tc>
          <w:tcPr>
            <w:tcW w:w="839" w:type="dxa"/>
            <w:vAlign w:val="center"/>
          </w:tcPr>
          <w:p w14:paraId="1B1D0309"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ago-25</w:t>
            </w:r>
          </w:p>
        </w:tc>
        <w:tc>
          <w:tcPr>
            <w:tcW w:w="840" w:type="dxa"/>
            <w:vAlign w:val="center"/>
          </w:tcPr>
          <w:p w14:paraId="430A3C79"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sep-25</w:t>
            </w:r>
          </w:p>
        </w:tc>
        <w:tc>
          <w:tcPr>
            <w:tcW w:w="839" w:type="dxa"/>
            <w:vAlign w:val="center"/>
          </w:tcPr>
          <w:p w14:paraId="7ABEBD61"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oct-25</w:t>
            </w:r>
          </w:p>
        </w:tc>
        <w:tc>
          <w:tcPr>
            <w:tcW w:w="839" w:type="dxa"/>
            <w:vAlign w:val="center"/>
          </w:tcPr>
          <w:p w14:paraId="027420C3"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nov-25</w:t>
            </w:r>
          </w:p>
        </w:tc>
        <w:tc>
          <w:tcPr>
            <w:tcW w:w="839" w:type="dxa"/>
            <w:vAlign w:val="center"/>
          </w:tcPr>
          <w:p w14:paraId="3C198952"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dic-25</w:t>
            </w:r>
          </w:p>
        </w:tc>
      </w:tr>
      <w:tr w:rsidR="000D0DE2" w:rsidRPr="00B1210D" w14:paraId="1715112C" w14:textId="77777777" w:rsidTr="00FA24A6">
        <w:trPr>
          <w:cantSplit/>
          <w:trHeight w:val="964"/>
          <w:jc w:val="center"/>
        </w:trPr>
        <w:tc>
          <w:tcPr>
            <w:tcW w:w="1139" w:type="dxa"/>
            <w:vAlign w:val="center"/>
          </w:tcPr>
          <w:p w14:paraId="6CEA10D8"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Capital Suscrito y Pagado</w:t>
            </w:r>
          </w:p>
        </w:tc>
        <w:tc>
          <w:tcPr>
            <w:tcW w:w="840" w:type="dxa"/>
            <w:vAlign w:val="center"/>
          </w:tcPr>
          <w:p w14:paraId="6A95315E"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7893C993"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40" w:type="dxa"/>
            <w:vAlign w:val="center"/>
          </w:tcPr>
          <w:p w14:paraId="58A8F1DB"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8" w:type="dxa"/>
            <w:vAlign w:val="center"/>
          </w:tcPr>
          <w:p w14:paraId="6453364C"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40" w:type="dxa"/>
            <w:vAlign w:val="center"/>
          </w:tcPr>
          <w:p w14:paraId="6756F658"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0E358E06"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37963FEA"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1A1ED5A4"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40" w:type="dxa"/>
            <w:vAlign w:val="center"/>
          </w:tcPr>
          <w:p w14:paraId="2BF6C20E"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347F65E2"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16745DEE"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c>
          <w:tcPr>
            <w:tcW w:w="839" w:type="dxa"/>
            <w:vAlign w:val="center"/>
          </w:tcPr>
          <w:p w14:paraId="09442A3D"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664.220</w:t>
            </w:r>
          </w:p>
        </w:tc>
      </w:tr>
      <w:tr w:rsidR="000D0DE2" w:rsidRPr="00B1210D" w14:paraId="3D771D6D" w14:textId="77777777" w:rsidTr="00FA24A6">
        <w:trPr>
          <w:cantSplit/>
          <w:trHeight w:val="320"/>
          <w:jc w:val="center"/>
        </w:trPr>
        <w:tc>
          <w:tcPr>
            <w:tcW w:w="1139" w:type="dxa"/>
            <w:vAlign w:val="center"/>
          </w:tcPr>
          <w:p w14:paraId="1E408281"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Reservas</w:t>
            </w:r>
          </w:p>
        </w:tc>
        <w:tc>
          <w:tcPr>
            <w:tcW w:w="840" w:type="dxa"/>
            <w:vAlign w:val="center"/>
          </w:tcPr>
          <w:p w14:paraId="2BDB4736"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1647ACE0"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40" w:type="dxa"/>
            <w:vAlign w:val="center"/>
          </w:tcPr>
          <w:p w14:paraId="56BFC113"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8" w:type="dxa"/>
            <w:vAlign w:val="center"/>
          </w:tcPr>
          <w:p w14:paraId="155EDC7B"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40" w:type="dxa"/>
            <w:vAlign w:val="center"/>
          </w:tcPr>
          <w:p w14:paraId="733D27B5"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0C294078"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259AFCDC"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45E33F6A"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40" w:type="dxa"/>
            <w:vAlign w:val="center"/>
          </w:tcPr>
          <w:p w14:paraId="3A04A7E4"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5FA99C42"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08DC864B"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c>
          <w:tcPr>
            <w:tcW w:w="839" w:type="dxa"/>
            <w:vAlign w:val="center"/>
          </w:tcPr>
          <w:p w14:paraId="0F189775"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57</w:t>
            </w:r>
          </w:p>
        </w:tc>
      </w:tr>
      <w:tr w:rsidR="000D0DE2" w:rsidRPr="00B1210D" w14:paraId="74266AE6" w14:textId="77777777" w:rsidTr="00FA24A6">
        <w:trPr>
          <w:cantSplit/>
          <w:trHeight w:val="1285"/>
          <w:jc w:val="center"/>
        </w:trPr>
        <w:tc>
          <w:tcPr>
            <w:tcW w:w="1139" w:type="dxa"/>
            <w:vAlign w:val="center"/>
          </w:tcPr>
          <w:p w14:paraId="1DB0A1BC"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Resultados de Ejercicios Anteriores</w:t>
            </w:r>
          </w:p>
        </w:tc>
        <w:tc>
          <w:tcPr>
            <w:tcW w:w="840" w:type="dxa"/>
            <w:vAlign w:val="center"/>
          </w:tcPr>
          <w:p w14:paraId="1C39798C"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63F8B7F0"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40" w:type="dxa"/>
            <w:vAlign w:val="center"/>
          </w:tcPr>
          <w:p w14:paraId="57B56859"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8" w:type="dxa"/>
            <w:vAlign w:val="center"/>
          </w:tcPr>
          <w:p w14:paraId="65710954"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40" w:type="dxa"/>
            <w:vAlign w:val="center"/>
          </w:tcPr>
          <w:p w14:paraId="3C7FC40B"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0C909C63"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22CC32E5"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0EC9461F"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40" w:type="dxa"/>
            <w:vAlign w:val="center"/>
          </w:tcPr>
          <w:p w14:paraId="5A93DF50"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75EAE7E9"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4FCFCC68"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c>
          <w:tcPr>
            <w:tcW w:w="839" w:type="dxa"/>
            <w:vAlign w:val="center"/>
          </w:tcPr>
          <w:p w14:paraId="71E187DF"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-555.014</w:t>
            </w:r>
          </w:p>
        </w:tc>
      </w:tr>
      <w:tr w:rsidR="000D0DE2" w:rsidRPr="00B1210D" w14:paraId="008CD0F5" w14:textId="77777777" w:rsidTr="00FA24A6">
        <w:trPr>
          <w:cantSplit/>
          <w:trHeight w:val="964"/>
          <w:jc w:val="center"/>
        </w:trPr>
        <w:tc>
          <w:tcPr>
            <w:tcW w:w="1139" w:type="dxa"/>
            <w:vAlign w:val="center"/>
          </w:tcPr>
          <w:p w14:paraId="00DFE12F"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Resultados del Ejercicio</w:t>
            </w:r>
          </w:p>
        </w:tc>
        <w:tc>
          <w:tcPr>
            <w:tcW w:w="840" w:type="dxa"/>
            <w:vAlign w:val="center"/>
          </w:tcPr>
          <w:p w14:paraId="27CE83A5"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-42.024</w:t>
            </w:r>
          </w:p>
        </w:tc>
        <w:tc>
          <w:tcPr>
            <w:tcW w:w="839" w:type="dxa"/>
            <w:vAlign w:val="center"/>
          </w:tcPr>
          <w:p w14:paraId="389D13EE"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-64.873</w:t>
            </w:r>
          </w:p>
        </w:tc>
        <w:tc>
          <w:tcPr>
            <w:tcW w:w="840" w:type="dxa"/>
            <w:vAlign w:val="center"/>
          </w:tcPr>
          <w:p w14:paraId="7D125F45"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-75.145</w:t>
            </w:r>
          </w:p>
        </w:tc>
        <w:tc>
          <w:tcPr>
            <w:tcW w:w="838" w:type="dxa"/>
            <w:vAlign w:val="center"/>
          </w:tcPr>
          <w:p w14:paraId="44DDDF70"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-80.308</w:t>
            </w:r>
          </w:p>
        </w:tc>
        <w:tc>
          <w:tcPr>
            <w:tcW w:w="840" w:type="dxa"/>
            <w:vAlign w:val="center"/>
          </w:tcPr>
          <w:p w14:paraId="0ED1B1D1"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-106.269</w:t>
            </w:r>
          </w:p>
        </w:tc>
        <w:tc>
          <w:tcPr>
            <w:tcW w:w="839" w:type="dxa"/>
            <w:vAlign w:val="center"/>
          </w:tcPr>
          <w:p w14:paraId="1D9F6882"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-85.663</w:t>
            </w:r>
          </w:p>
        </w:tc>
        <w:tc>
          <w:tcPr>
            <w:tcW w:w="839" w:type="dxa"/>
            <w:vAlign w:val="center"/>
          </w:tcPr>
          <w:p w14:paraId="077904F1"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-103.488</w:t>
            </w:r>
          </w:p>
        </w:tc>
        <w:tc>
          <w:tcPr>
            <w:tcW w:w="839" w:type="dxa"/>
            <w:vAlign w:val="center"/>
          </w:tcPr>
          <w:p w14:paraId="48BF507E"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-109.059</w:t>
            </w:r>
          </w:p>
        </w:tc>
        <w:tc>
          <w:tcPr>
            <w:tcW w:w="840" w:type="dxa"/>
            <w:vAlign w:val="center"/>
          </w:tcPr>
          <w:p w14:paraId="6E7FBB6D"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-87.527</w:t>
            </w:r>
          </w:p>
        </w:tc>
        <w:tc>
          <w:tcPr>
            <w:tcW w:w="839" w:type="dxa"/>
            <w:vAlign w:val="center"/>
          </w:tcPr>
          <w:p w14:paraId="354633A4"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-106.100</w:t>
            </w:r>
          </w:p>
        </w:tc>
        <w:tc>
          <w:tcPr>
            <w:tcW w:w="839" w:type="dxa"/>
            <w:vAlign w:val="center"/>
          </w:tcPr>
          <w:p w14:paraId="6137FBE9"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-82.544</w:t>
            </w:r>
          </w:p>
        </w:tc>
        <w:tc>
          <w:tcPr>
            <w:tcW w:w="839" w:type="dxa"/>
            <w:vAlign w:val="center"/>
          </w:tcPr>
          <w:p w14:paraId="3BC7F19C"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hAnsi="Arial" w:cs="Arial"/>
                <w:color w:val="000000" w:themeColor="text1"/>
                <w:kern w:val="2"/>
                <w:sz w:val="16"/>
                <w:szCs w:val="16"/>
              </w:rPr>
              <w:t>-90.940</w:t>
            </w:r>
          </w:p>
        </w:tc>
      </w:tr>
      <w:tr w:rsidR="000D0DE2" w:rsidRPr="00B1210D" w14:paraId="0D9B99E3" w14:textId="77777777" w:rsidTr="00FA24A6">
        <w:trPr>
          <w:cantSplit/>
          <w:trHeight w:val="642"/>
          <w:jc w:val="center"/>
        </w:trPr>
        <w:tc>
          <w:tcPr>
            <w:tcW w:w="1139" w:type="dxa"/>
            <w:vAlign w:val="center"/>
          </w:tcPr>
          <w:p w14:paraId="3538EDF8" w14:textId="77777777" w:rsidR="000D0DE2" w:rsidRPr="00B1210D" w:rsidRDefault="000D0DE2" w:rsidP="005B2285">
            <w:pPr>
              <w:spacing w:line="360" w:lineRule="auto"/>
              <w:jc w:val="both"/>
              <w:rPr>
                <w:rFonts w:ascii="Arial" w:hAnsi="Arial" w:cs="Arial"/>
                <w:b/>
                <w:bCs/>
                <w:color w:val="000000" w:themeColor="text1"/>
                <w:sz w:val="16"/>
                <w:szCs w:val="16"/>
              </w:rPr>
            </w:pPr>
            <w:proofErr w:type="gramStart"/>
            <w:r w:rsidRPr="00B1210D">
              <w:rPr>
                <w:rFonts w:ascii="Arial" w:hAnsi="Arial" w:cs="Arial"/>
                <w:b/>
                <w:bCs/>
                <w:color w:val="000000" w:themeColor="text1"/>
                <w:kern w:val="2"/>
                <w:sz w:val="16"/>
                <w:szCs w:val="16"/>
              </w:rPr>
              <w:t>Total</w:t>
            </w:r>
            <w:proofErr w:type="gramEnd"/>
            <w:r w:rsidRPr="00B1210D">
              <w:rPr>
                <w:rFonts w:ascii="Arial" w:hAnsi="Arial" w:cs="Arial"/>
                <w:b/>
                <w:bCs/>
                <w:color w:val="000000" w:themeColor="text1"/>
                <w:kern w:val="2"/>
                <w:sz w:val="16"/>
                <w:szCs w:val="16"/>
              </w:rPr>
              <w:t xml:space="preserve"> Patrimonio</w:t>
            </w:r>
          </w:p>
        </w:tc>
        <w:tc>
          <w:tcPr>
            <w:tcW w:w="840" w:type="dxa"/>
            <w:vAlign w:val="center"/>
          </w:tcPr>
          <w:p w14:paraId="640E07F4"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67.239</w:t>
            </w:r>
          </w:p>
        </w:tc>
        <w:tc>
          <w:tcPr>
            <w:tcW w:w="839" w:type="dxa"/>
            <w:vAlign w:val="center"/>
          </w:tcPr>
          <w:p w14:paraId="0953FE36"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44.390</w:t>
            </w:r>
          </w:p>
        </w:tc>
        <w:tc>
          <w:tcPr>
            <w:tcW w:w="840" w:type="dxa"/>
            <w:vAlign w:val="center"/>
          </w:tcPr>
          <w:p w14:paraId="764C2240"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34.118</w:t>
            </w:r>
          </w:p>
        </w:tc>
        <w:tc>
          <w:tcPr>
            <w:tcW w:w="838" w:type="dxa"/>
            <w:vAlign w:val="center"/>
          </w:tcPr>
          <w:p w14:paraId="61CAD9C6"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28.955</w:t>
            </w:r>
          </w:p>
        </w:tc>
        <w:tc>
          <w:tcPr>
            <w:tcW w:w="840" w:type="dxa"/>
            <w:vAlign w:val="center"/>
          </w:tcPr>
          <w:p w14:paraId="3E1169C1"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2.994</w:t>
            </w:r>
          </w:p>
        </w:tc>
        <w:tc>
          <w:tcPr>
            <w:tcW w:w="839" w:type="dxa"/>
            <w:vAlign w:val="center"/>
          </w:tcPr>
          <w:p w14:paraId="3D12EF60"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23.600</w:t>
            </w:r>
          </w:p>
        </w:tc>
        <w:tc>
          <w:tcPr>
            <w:tcW w:w="839" w:type="dxa"/>
            <w:vAlign w:val="center"/>
          </w:tcPr>
          <w:p w14:paraId="1A75FCAF"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5.775</w:t>
            </w:r>
          </w:p>
        </w:tc>
        <w:tc>
          <w:tcPr>
            <w:tcW w:w="839" w:type="dxa"/>
            <w:vAlign w:val="center"/>
          </w:tcPr>
          <w:p w14:paraId="3B6B9200"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204</w:t>
            </w:r>
          </w:p>
        </w:tc>
        <w:tc>
          <w:tcPr>
            <w:tcW w:w="840" w:type="dxa"/>
            <w:vAlign w:val="center"/>
          </w:tcPr>
          <w:p w14:paraId="28CCEE55"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21.736</w:t>
            </w:r>
          </w:p>
        </w:tc>
        <w:tc>
          <w:tcPr>
            <w:tcW w:w="839" w:type="dxa"/>
            <w:vAlign w:val="center"/>
          </w:tcPr>
          <w:p w14:paraId="58DFEEAC"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3.163</w:t>
            </w:r>
          </w:p>
        </w:tc>
        <w:tc>
          <w:tcPr>
            <w:tcW w:w="839" w:type="dxa"/>
            <w:vAlign w:val="center"/>
          </w:tcPr>
          <w:p w14:paraId="21D41461"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26.719</w:t>
            </w:r>
          </w:p>
        </w:tc>
        <w:tc>
          <w:tcPr>
            <w:tcW w:w="839" w:type="dxa"/>
            <w:vAlign w:val="center"/>
          </w:tcPr>
          <w:p w14:paraId="601E832F" w14:textId="77777777" w:rsidR="000D0DE2" w:rsidRPr="00B1210D" w:rsidRDefault="000D0DE2" w:rsidP="005B2285">
            <w:pPr>
              <w:spacing w:line="360" w:lineRule="auto"/>
              <w:jc w:val="both"/>
              <w:rPr>
                <w:rFonts w:ascii="Arial" w:hAnsi="Arial" w:cs="Arial"/>
                <w:b/>
                <w:bCs/>
                <w:color w:val="000000" w:themeColor="text1"/>
                <w:sz w:val="16"/>
                <w:szCs w:val="16"/>
              </w:rPr>
            </w:pPr>
            <w:r w:rsidRPr="00B1210D">
              <w:rPr>
                <w:rFonts w:ascii="Arial" w:hAnsi="Arial" w:cs="Arial"/>
                <w:b/>
                <w:bCs/>
                <w:color w:val="000000" w:themeColor="text1"/>
                <w:kern w:val="2"/>
                <w:sz w:val="16"/>
                <w:szCs w:val="16"/>
              </w:rPr>
              <w:t>18.323</w:t>
            </w:r>
          </w:p>
        </w:tc>
      </w:tr>
    </w:tbl>
    <w:p w14:paraId="256B5DF4" w14:textId="77777777" w:rsidR="000D0DE2" w:rsidRPr="00B1210D" w:rsidRDefault="000D0DE2" w:rsidP="005B2285">
      <w:pPr>
        <w:spacing w:line="360" w:lineRule="auto"/>
        <w:jc w:val="both"/>
        <w:rPr>
          <w:rFonts w:ascii="Arial" w:hAnsi="Arial" w:cs="Arial"/>
          <w:color w:val="000000" w:themeColor="text1"/>
          <w:sz w:val="16"/>
          <w:szCs w:val="16"/>
        </w:rPr>
      </w:pPr>
      <w:r w:rsidRPr="00B1210D">
        <w:rPr>
          <w:rFonts w:ascii="Arial" w:eastAsia="Arial" w:hAnsi="Arial" w:cs="Arial"/>
          <w:color w:val="000000"/>
          <w:sz w:val="16"/>
          <w:szCs w:val="16"/>
        </w:rPr>
        <w:t xml:space="preserve">Fuente:  Formato FT001 – Información financiera reportada (corte enero a diciembre 2025). </w:t>
      </w:r>
      <w:hyperlink r:id="rId26" w:anchor="/datos-abiertos/search?groupIds=9a4d8d6e18a94ad4a633ef878e6c638d&amp;q=2025" w:history="1">
        <w:r w:rsidRPr="00B1210D">
          <w:rPr>
            <w:rStyle w:val="Hipervnculo"/>
            <w:rFonts w:ascii="Arial" w:eastAsia="Arial" w:hAnsi="Arial" w:cs="Arial"/>
            <w:color w:val="000000"/>
            <w:sz w:val="16"/>
            <w:szCs w:val="16"/>
          </w:rPr>
          <w:t>https://mapas.supersalud.gov.co/arcgisportal/apps/sites/#/datos-abiertos/search?groupIds=9a4d8d6e18a94ad4a633ef878e6c638d&amp;q=2025</w:t>
        </w:r>
      </w:hyperlink>
    </w:p>
    <w:p w14:paraId="590A2149" w14:textId="77777777" w:rsidR="000D0DE2" w:rsidRPr="000D0DE2" w:rsidRDefault="000D0DE2" w:rsidP="005B2285">
      <w:pPr>
        <w:spacing w:line="360" w:lineRule="auto"/>
        <w:jc w:val="both"/>
        <w:rPr>
          <w:rFonts w:ascii="Arial" w:hAnsi="Arial" w:cs="Arial"/>
          <w:color w:val="000000" w:themeColor="text1"/>
        </w:rPr>
      </w:pPr>
    </w:p>
    <w:p w14:paraId="15C4ED5C" w14:textId="561919CC" w:rsidR="00AA4A03" w:rsidRDefault="00AA4A03" w:rsidP="005B2285">
      <w:pPr>
        <w:spacing w:line="360" w:lineRule="auto"/>
        <w:jc w:val="both"/>
        <w:rPr>
          <w:rFonts w:ascii="Arial" w:hAnsi="Arial" w:cs="Arial"/>
          <w:color w:val="000000" w:themeColor="text1"/>
        </w:rPr>
      </w:pPr>
      <w:r w:rsidRPr="00AA4A03">
        <w:rPr>
          <w:rFonts w:ascii="Arial" w:hAnsi="Arial" w:cs="Arial"/>
          <w:color w:val="000000" w:themeColor="text1"/>
        </w:rPr>
        <w:t xml:space="preserve">El patrimonio de </w:t>
      </w:r>
      <w:r w:rsidRPr="00AA4A03">
        <w:rPr>
          <w:rFonts w:ascii="Arial" w:hAnsi="Arial" w:cs="Arial"/>
          <w:b/>
          <w:bCs/>
          <w:color w:val="000000" w:themeColor="text1"/>
        </w:rPr>
        <w:t>Capital Salud EPS-S</w:t>
      </w:r>
      <w:r w:rsidRPr="00AA4A03">
        <w:rPr>
          <w:rFonts w:ascii="Arial" w:hAnsi="Arial" w:cs="Arial"/>
          <w:color w:val="000000" w:themeColor="text1"/>
        </w:rPr>
        <w:t xml:space="preserve"> evidencia un deterioro significativo durante el periodo enero-diciembre de 2025. El total patrimonial pasó de </w:t>
      </w:r>
      <w:r w:rsidRPr="00AA4A03">
        <w:rPr>
          <w:rFonts w:ascii="Arial" w:hAnsi="Arial" w:cs="Arial"/>
          <w:b/>
          <w:bCs/>
          <w:color w:val="000000" w:themeColor="text1"/>
        </w:rPr>
        <w:t>$67.239 millones</w:t>
      </w:r>
      <w:r w:rsidRPr="00AA4A03">
        <w:rPr>
          <w:rFonts w:ascii="Arial" w:hAnsi="Arial" w:cs="Arial"/>
          <w:color w:val="000000" w:themeColor="text1"/>
        </w:rPr>
        <w:t xml:space="preserve"> en enero a </w:t>
      </w:r>
      <w:r w:rsidRPr="00AA4A03">
        <w:rPr>
          <w:rFonts w:ascii="Arial" w:hAnsi="Arial" w:cs="Arial"/>
          <w:b/>
          <w:bCs/>
          <w:color w:val="000000" w:themeColor="text1"/>
        </w:rPr>
        <w:t>$18.323 millones</w:t>
      </w:r>
      <w:r w:rsidRPr="00AA4A03">
        <w:rPr>
          <w:rFonts w:ascii="Arial" w:hAnsi="Arial" w:cs="Arial"/>
          <w:color w:val="000000" w:themeColor="text1"/>
        </w:rPr>
        <w:t xml:space="preserve"> en diciembre, lo que representa una disminución de </w:t>
      </w:r>
      <w:r w:rsidRPr="00AA4A03">
        <w:rPr>
          <w:rFonts w:ascii="Arial" w:hAnsi="Arial" w:cs="Arial"/>
          <w:b/>
          <w:bCs/>
          <w:color w:val="000000" w:themeColor="text1"/>
        </w:rPr>
        <w:t>$48.916 millones</w:t>
      </w:r>
      <w:r w:rsidRPr="00AA4A03">
        <w:rPr>
          <w:rFonts w:ascii="Arial" w:hAnsi="Arial" w:cs="Arial"/>
          <w:color w:val="000000" w:themeColor="text1"/>
        </w:rPr>
        <w:t xml:space="preserve">, equivalente a una reducción aproximada del </w:t>
      </w:r>
      <w:r w:rsidRPr="00AA4A03">
        <w:rPr>
          <w:rFonts w:ascii="Arial" w:hAnsi="Arial" w:cs="Arial"/>
          <w:b/>
          <w:bCs/>
          <w:color w:val="000000" w:themeColor="text1"/>
        </w:rPr>
        <w:t>72,8%</w:t>
      </w:r>
      <w:r w:rsidRPr="00AA4A03">
        <w:rPr>
          <w:rFonts w:ascii="Arial" w:hAnsi="Arial" w:cs="Arial"/>
          <w:color w:val="000000" w:themeColor="text1"/>
        </w:rPr>
        <w:t>. Aunque el patrimonio se mantiene positivo al cierre de la vigencia, su nivel es considerablemente bajo frente al tamaño de la operación y frente al volumen de activos y pasivos registrados por la entidad.</w:t>
      </w:r>
    </w:p>
    <w:p w14:paraId="670A37B2" w14:textId="77777777" w:rsidR="00AA4A03" w:rsidRPr="00AA4A03" w:rsidRDefault="00AA4A03" w:rsidP="005B2285">
      <w:pPr>
        <w:spacing w:line="360" w:lineRule="auto"/>
        <w:jc w:val="both"/>
        <w:rPr>
          <w:rFonts w:ascii="Arial" w:hAnsi="Arial" w:cs="Arial"/>
          <w:color w:val="000000" w:themeColor="text1"/>
        </w:rPr>
      </w:pPr>
    </w:p>
    <w:p w14:paraId="3ED2A2EF" w14:textId="77777777" w:rsidR="00AA4A03" w:rsidRDefault="00AA4A03" w:rsidP="005B2285">
      <w:pPr>
        <w:spacing w:line="360" w:lineRule="auto"/>
        <w:jc w:val="both"/>
        <w:rPr>
          <w:rFonts w:ascii="Arial" w:hAnsi="Arial" w:cs="Arial"/>
          <w:color w:val="000000" w:themeColor="text1"/>
        </w:rPr>
      </w:pPr>
      <w:r w:rsidRPr="00AA4A03">
        <w:rPr>
          <w:rFonts w:ascii="Arial" w:hAnsi="Arial" w:cs="Arial"/>
          <w:color w:val="000000" w:themeColor="text1"/>
        </w:rPr>
        <w:lastRenderedPageBreak/>
        <w:t xml:space="preserve">La estructura patrimonial muestra que el </w:t>
      </w:r>
      <w:r w:rsidRPr="00AA4A03">
        <w:rPr>
          <w:rFonts w:ascii="Arial" w:hAnsi="Arial" w:cs="Arial"/>
          <w:b/>
          <w:bCs/>
          <w:color w:val="000000" w:themeColor="text1"/>
        </w:rPr>
        <w:t>capital suscrito y pagado</w:t>
      </w:r>
      <w:r w:rsidRPr="00AA4A03">
        <w:rPr>
          <w:rFonts w:ascii="Arial" w:hAnsi="Arial" w:cs="Arial"/>
          <w:color w:val="000000" w:themeColor="text1"/>
        </w:rPr>
        <w:t xml:space="preserve"> permaneció estable durante todo el periodo, en </w:t>
      </w:r>
      <w:r w:rsidRPr="00AA4A03">
        <w:rPr>
          <w:rFonts w:ascii="Arial" w:hAnsi="Arial" w:cs="Arial"/>
          <w:b/>
          <w:bCs/>
          <w:color w:val="000000" w:themeColor="text1"/>
        </w:rPr>
        <w:t>$664.220 millones</w:t>
      </w:r>
      <w:r w:rsidRPr="00AA4A03">
        <w:rPr>
          <w:rFonts w:ascii="Arial" w:hAnsi="Arial" w:cs="Arial"/>
          <w:color w:val="000000" w:themeColor="text1"/>
        </w:rPr>
        <w:t xml:space="preserve">, al igual que las </w:t>
      </w:r>
      <w:r w:rsidRPr="00AA4A03">
        <w:rPr>
          <w:rFonts w:ascii="Arial" w:hAnsi="Arial" w:cs="Arial"/>
          <w:b/>
          <w:bCs/>
          <w:color w:val="000000" w:themeColor="text1"/>
        </w:rPr>
        <w:t>reservas</w:t>
      </w:r>
      <w:r w:rsidRPr="00AA4A03">
        <w:rPr>
          <w:rFonts w:ascii="Arial" w:hAnsi="Arial" w:cs="Arial"/>
          <w:color w:val="000000" w:themeColor="text1"/>
        </w:rPr>
        <w:t xml:space="preserve">, que se mantuvieron en </w:t>
      </w:r>
      <w:r w:rsidRPr="00AA4A03">
        <w:rPr>
          <w:rFonts w:ascii="Arial" w:hAnsi="Arial" w:cs="Arial"/>
          <w:b/>
          <w:bCs/>
          <w:color w:val="000000" w:themeColor="text1"/>
        </w:rPr>
        <w:t>$57 millones</w:t>
      </w:r>
      <w:r w:rsidRPr="00AA4A03">
        <w:rPr>
          <w:rFonts w:ascii="Arial" w:hAnsi="Arial" w:cs="Arial"/>
          <w:color w:val="000000" w:themeColor="text1"/>
        </w:rPr>
        <w:t xml:space="preserve">. No obstante, este respaldo patrimonial se encuentra fuertemente afectado por los </w:t>
      </w:r>
      <w:r w:rsidRPr="00AA4A03">
        <w:rPr>
          <w:rFonts w:ascii="Arial" w:hAnsi="Arial" w:cs="Arial"/>
          <w:b/>
          <w:bCs/>
          <w:color w:val="000000" w:themeColor="text1"/>
        </w:rPr>
        <w:t>resultados de ejercicios anteriores</w:t>
      </w:r>
      <w:r w:rsidRPr="00AA4A03">
        <w:rPr>
          <w:rFonts w:ascii="Arial" w:hAnsi="Arial" w:cs="Arial"/>
          <w:color w:val="000000" w:themeColor="text1"/>
        </w:rPr>
        <w:t xml:space="preserve">, que permanecen en </w:t>
      </w:r>
      <w:r w:rsidRPr="00AA4A03">
        <w:rPr>
          <w:rFonts w:ascii="Arial" w:hAnsi="Arial" w:cs="Arial"/>
          <w:b/>
          <w:bCs/>
          <w:color w:val="000000" w:themeColor="text1"/>
        </w:rPr>
        <w:t>-$555.014 millones</w:t>
      </w:r>
      <w:r w:rsidRPr="00AA4A03">
        <w:rPr>
          <w:rFonts w:ascii="Arial" w:hAnsi="Arial" w:cs="Arial"/>
          <w:color w:val="000000" w:themeColor="text1"/>
        </w:rPr>
        <w:t xml:space="preserve">, y por los resultados negativos del ejercicio 2025, que cerraron diciembre en </w:t>
      </w:r>
      <w:r w:rsidRPr="00AA4A03">
        <w:rPr>
          <w:rFonts w:ascii="Arial" w:hAnsi="Arial" w:cs="Arial"/>
          <w:b/>
          <w:bCs/>
          <w:color w:val="000000" w:themeColor="text1"/>
        </w:rPr>
        <w:t>-$90.940 millones</w:t>
      </w:r>
      <w:r w:rsidRPr="00AA4A03">
        <w:rPr>
          <w:rFonts w:ascii="Arial" w:hAnsi="Arial" w:cs="Arial"/>
          <w:color w:val="000000" w:themeColor="text1"/>
        </w:rPr>
        <w:t>. En conjunto, las pérdidas acumuladas y del ejercicio absorben una proporción sustancial del capital de la entidad, reduciendo de manera importante el margen patrimonial disponible.</w:t>
      </w:r>
    </w:p>
    <w:p w14:paraId="54589CFF" w14:textId="77777777" w:rsidR="00AA4A03" w:rsidRPr="00AA4A03" w:rsidRDefault="00AA4A03" w:rsidP="005B2285">
      <w:pPr>
        <w:spacing w:line="360" w:lineRule="auto"/>
        <w:jc w:val="both"/>
        <w:rPr>
          <w:rFonts w:ascii="Arial" w:hAnsi="Arial" w:cs="Arial"/>
          <w:color w:val="000000" w:themeColor="text1"/>
        </w:rPr>
      </w:pPr>
    </w:p>
    <w:p w14:paraId="31C193BA" w14:textId="77777777" w:rsidR="00AA4A03" w:rsidRDefault="00AA4A03" w:rsidP="005B2285">
      <w:pPr>
        <w:spacing w:line="360" w:lineRule="auto"/>
        <w:jc w:val="both"/>
        <w:rPr>
          <w:rFonts w:ascii="Arial" w:hAnsi="Arial" w:cs="Arial"/>
          <w:color w:val="000000" w:themeColor="text1"/>
        </w:rPr>
      </w:pPr>
      <w:r w:rsidRPr="00AA4A03">
        <w:rPr>
          <w:rFonts w:ascii="Arial" w:hAnsi="Arial" w:cs="Arial"/>
          <w:color w:val="000000" w:themeColor="text1"/>
        </w:rPr>
        <w:t xml:space="preserve">Durante el año se observan meses de mayor fragilidad patrimonial. En mayo, el patrimonio se redujo a </w:t>
      </w:r>
      <w:r w:rsidRPr="00AA4A03">
        <w:rPr>
          <w:rFonts w:ascii="Arial" w:hAnsi="Arial" w:cs="Arial"/>
          <w:b/>
          <w:bCs/>
          <w:color w:val="000000" w:themeColor="text1"/>
        </w:rPr>
        <w:t>$2.994 millones</w:t>
      </w:r>
      <w:r w:rsidRPr="00AA4A03">
        <w:rPr>
          <w:rFonts w:ascii="Arial" w:hAnsi="Arial" w:cs="Arial"/>
          <w:color w:val="000000" w:themeColor="text1"/>
        </w:rPr>
        <w:t xml:space="preserve">; en julio, a </w:t>
      </w:r>
      <w:r w:rsidRPr="00AA4A03">
        <w:rPr>
          <w:rFonts w:ascii="Arial" w:hAnsi="Arial" w:cs="Arial"/>
          <w:b/>
          <w:bCs/>
          <w:color w:val="000000" w:themeColor="text1"/>
        </w:rPr>
        <w:t>$5.775 millones</w:t>
      </w:r>
      <w:r w:rsidRPr="00AA4A03">
        <w:rPr>
          <w:rFonts w:ascii="Arial" w:hAnsi="Arial" w:cs="Arial"/>
          <w:color w:val="000000" w:themeColor="text1"/>
        </w:rPr>
        <w:t xml:space="preserve">; en agosto, a apenas </w:t>
      </w:r>
      <w:r w:rsidRPr="00AA4A03">
        <w:rPr>
          <w:rFonts w:ascii="Arial" w:hAnsi="Arial" w:cs="Arial"/>
          <w:b/>
          <w:bCs/>
          <w:color w:val="000000" w:themeColor="text1"/>
        </w:rPr>
        <w:t>$204 millones</w:t>
      </w:r>
      <w:r w:rsidRPr="00AA4A03">
        <w:rPr>
          <w:rFonts w:ascii="Arial" w:hAnsi="Arial" w:cs="Arial"/>
          <w:color w:val="000000" w:themeColor="text1"/>
        </w:rPr>
        <w:t xml:space="preserve">; y en octubre, a </w:t>
      </w:r>
      <w:r w:rsidRPr="00AA4A03">
        <w:rPr>
          <w:rFonts w:ascii="Arial" w:hAnsi="Arial" w:cs="Arial"/>
          <w:b/>
          <w:bCs/>
          <w:color w:val="000000" w:themeColor="text1"/>
        </w:rPr>
        <w:t>$3.163 millones</w:t>
      </w:r>
      <w:r w:rsidRPr="00AA4A03">
        <w:rPr>
          <w:rFonts w:ascii="Arial" w:hAnsi="Arial" w:cs="Arial"/>
          <w:color w:val="000000" w:themeColor="text1"/>
        </w:rPr>
        <w:t xml:space="preserve">. Estos niveles reflejan una exposición crítica, en la medida en que pequeños cambios adicionales en los resultados del ejercicio, provisiones, cuentas por pagar u otros ajustes contables podrían comprometer la estabilidad patrimonial de la EPS. Aunque en noviembre se observa una recuperación temporal hasta </w:t>
      </w:r>
      <w:r w:rsidRPr="00AA4A03">
        <w:rPr>
          <w:rFonts w:ascii="Arial" w:hAnsi="Arial" w:cs="Arial"/>
          <w:b/>
          <w:bCs/>
          <w:color w:val="000000" w:themeColor="text1"/>
        </w:rPr>
        <w:t>$26.719 millones</w:t>
      </w:r>
      <w:r w:rsidRPr="00AA4A03">
        <w:rPr>
          <w:rFonts w:ascii="Arial" w:hAnsi="Arial" w:cs="Arial"/>
          <w:color w:val="000000" w:themeColor="text1"/>
        </w:rPr>
        <w:t xml:space="preserve">, el cierre de diciembre en </w:t>
      </w:r>
      <w:r w:rsidRPr="00AA4A03">
        <w:rPr>
          <w:rFonts w:ascii="Arial" w:hAnsi="Arial" w:cs="Arial"/>
          <w:b/>
          <w:bCs/>
          <w:color w:val="000000" w:themeColor="text1"/>
        </w:rPr>
        <w:t>$18.323 millones</w:t>
      </w:r>
      <w:r w:rsidRPr="00AA4A03">
        <w:rPr>
          <w:rFonts w:ascii="Arial" w:hAnsi="Arial" w:cs="Arial"/>
          <w:color w:val="000000" w:themeColor="text1"/>
        </w:rPr>
        <w:t xml:space="preserve"> confirma que la estructura patrimonial continúa debilitada.</w:t>
      </w:r>
    </w:p>
    <w:p w14:paraId="19A7E78C" w14:textId="77777777" w:rsidR="00AA4A03" w:rsidRPr="00AA4A03" w:rsidRDefault="00AA4A03" w:rsidP="005B2285">
      <w:pPr>
        <w:spacing w:line="360" w:lineRule="auto"/>
        <w:jc w:val="both"/>
        <w:rPr>
          <w:rFonts w:ascii="Arial" w:hAnsi="Arial" w:cs="Arial"/>
          <w:color w:val="000000" w:themeColor="text1"/>
        </w:rPr>
      </w:pPr>
    </w:p>
    <w:p w14:paraId="6A4D056F" w14:textId="77777777" w:rsidR="00AA4A03" w:rsidRDefault="00AA4A03" w:rsidP="005B2285">
      <w:pPr>
        <w:spacing w:line="360" w:lineRule="auto"/>
        <w:jc w:val="both"/>
        <w:rPr>
          <w:rFonts w:ascii="Arial" w:hAnsi="Arial" w:cs="Arial"/>
          <w:color w:val="000000" w:themeColor="text1"/>
        </w:rPr>
      </w:pPr>
      <w:r w:rsidRPr="00AA4A03">
        <w:rPr>
          <w:rFonts w:ascii="Arial" w:hAnsi="Arial" w:cs="Arial"/>
          <w:color w:val="000000" w:themeColor="text1"/>
        </w:rPr>
        <w:t xml:space="preserve">La participación del patrimonio sobre el total de activos también muestra un deterioro relevante. En enero, el patrimonio representaba aproximadamente el </w:t>
      </w:r>
      <w:r w:rsidRPr="00AA4A03">
        <w:rPr>
          <w:rFonts w:ascii="Arial" w:hAnsi="Arial" w:cs="Arial"/>
          <w:b/>
          <w:bCs/>
          <w:color w:val="000000" w:themeColor="text1"/>
        </w:rPr>
        <w:t>14,3%</w:t>
      </w:r>
      <w:r w:rsidRPr="00AA4A03">
        <w:rPr>
          <w:rFonts w:ascii="Arial" w:hAnsi="Arial" w:cs="Arial"/>
          <w:color w:val="000000" w:themeColor="text1"/>
        </w:rPr>
        <w:t xml:space="preserve"> de los activos totales, mientras que en diciembre esta relación se redujo a cerca del </w:t>
      </w:r>
      <w:r w:rsidRPr="00AA4A03">
        <w:rPr>
          <w:rFonts w:ascii="Arial" w:hAnsi="Arial" w:cs="Arial"/>
          <w:b/>
          <w:bCs/>
          <w:color w:val="000000" w:themeColor="text1"/>
        </w:rPr>
        <w:t>3,8%</w:t>
      </w:r>
      <w:r w:rsidRPr="00AA4A03">
        <w:rPr>
          <w:rFonts w:ascii="Arial" w:hAnsi="Arial" w:cs="Arial"/>
          <w:color w:val="000000" w:themeColor="text1"/>
        </w:rPr>
        <w:t>. Este comportamiento evidencia una menor capacidad de respaldo patrimonial frente a la estructura financiera de la entidad y un incremento relativo de la dependencia sobre los pasivos para financiar la operación.</w:t>
      </w:r>
    </w:p>
    <w:p w14:paraId="6B21778C" w14:textId="77777777" w:rsidR="00AA4A03" w:rsidRPr="00AA4A03" w:rsidRDefault="00AA4A03" w:rsidP="005B2285">
      <w:pPr>
        <w:spacing w:line="360" w:lineRule="auto"/>
        <w:jc w:val="both"/>
        <w:rPr>
          <w:rFonts w:ascii="Arial" w:hAnsi="Arial" w:cs="Arial"/>
          <w:color w:val="000000" w:themeColor="text1"/>
        </w:rPr>
      </w:pPr>
    </w:p>
    <w:p w14:paraId="27D65C60" w14:textId="77777777" w:rsidR="00AA4A03" w:rsidRDefault="00AA4A03" w:rsidP="005B2285">
      <w:pPr>
        <w:spacing w:line="360" w:lineRule="auto"/>
        <w:jc w:val="both"/>
        <w:rPr>
          <w:rFonts w:ascii="Arial" w:hAnsi="Arial" w:cs="Arial"/>
          <w:color w:val="000000" w:themeColor="text1"/>
        </w:rPr>
      </w:pPr>
      <w:r w:rsidRPr="00AA4A03">
        <w:rPr>
          <w:rFonts w:ascii="Arial" w:hAnsi="Arial" w:cs="Arial"/>
          <w:color w:val="000000" w:themeColor="text1"/>
        </w:rPr>
        <w:t>Desde una perspectiva de solvencia, el comportamiento observado es una señal de alerta. La entidad conserva patrimonio positivo, pero con un margen estrecho y altamente sensible a los resultados negativos del ejercicio. La persistencia de pérdidas limita la capacidad de absorción de riesgos, reduce el respaldo contable frente a obligaciones presentes y futuras, y puede afectar la sostenibilidad financiera de la operación si no se adoptan medidas de recuperación y estabilización.</w:t>
      </w:r>
    </w:p>
    <w:p w14:paraId="1B43E726" w14:textId="77777777" w:rsidR="00AA4A03" w:rsidRPr="00AA4A03" w:rsidRDefault="00AA4A03" w:rsidP="005B2285">
      <w:pPr>
        <w:spacing w:line="360" w:lineRule="auto"/>
        <w:jc w:val="both"/>
        <w:rPr>
          <w:rFonts w:ascii="Arial" w:hAnsi="Arial" w:cs="Arial"/>
          <w:color w:val="000000" w:themeColor="text1"/>
        </w:rPr>
      </w:pPr>
    </w:p>
    <w:p w14:paraId="65A29BAD" w14:textId="77777777" w:rsidR="00AA4A03" w:rsidRDefault="00AA4A03" w:rsidP="005B2285">
      <w:pPr>
        <w:spacing w:line="360" w:lineRule="auto"/>
        <w:jc w:val="both"/>
        <w:rPr>
          <w:rFonts w:ascii="Arial" w:hAnsi="Arial" w:cs="Arial"/>
          <w:color w:val="000000" w:themeColor="text1"/>
        </w:rPr>
      </w:pPr>
      <w:r w:rsidRPr="00AA4A03">
        <w:rPr>
          <w:rFonts w:ascii="Arial" w:hAnsi="Arial" w:cs="Arial"/>
          <w:color w:val="000000" w:themeColor="text1"/>
        </w:rPr>
        <w:t>Este escenario debe analizarse de manera integrada con el crecimiento de los pasivos, el aumento de las cuentas por pagar a proveedores médicos, el comportamiento de las provisiones y la presión del gasto asistencial. La reducción patrimonial no constituye un hecho aislado, sino que refleja la acumulación de pérdidas y la limitada capacidad de generación de resultados positivos durante la vigencia. En consecuencia, el deterioro del patrimonio puede incidir en la capacidad de la EPS para responder oportunamente a sus obligaciones con la red prestadora y para sostener condiciones adecuadas de operación.</w:t>
      </w:r>
    </w:p>
    <w:p w14:paraId="131D781A" w14:textId="77777777" w:rsidR="00AA4A03" w:rsidRPr="00AA4A03" w:rsidRDefault="00AA4A03" w:rsidP="005B2285">
      <w:pPr>
        <w:spacing w:line="360" w:lineRule="auto"/>
        <w:jc w:val="both"/>
        <w:rPr>
          <w:rFonts w:ascii="Arial" w:hAnsi="Arial" w:cs="Arial"/>
          <w:color w:val="000000" w:themeColor="text1"/>
        </w:rPr>
      </w:pPr>
    </w:p>
    <w:p w14:paraId="2A3B1CA8" w14:textId="77777777" w:rsidR="00AA4A03" w:rsidRPr="00AA4A03" w:rsidRDefault="00AA4A03" w:rsidP="005B2285">
      <w:pPr>
        <w:spacing w:line="360" w:lineRule="auto"/>
        <w:jc w:val="both"/>
        <w:rPr>
          <w:rFonts w:ascii="Arial" w:hAnsi="Arial" w:cs="Arial"/>
          <w:color w:val="000000" w:themeColor="text1"/>
        </w:rPr>
      </w:pPr>
      <w:r w:rsidRPr="00AA4A03">
        <w:rPr>
          <w:rFonts w:ascii="Arial" w:hAnsi="Arial" w:cs="Arial"/>
          <w:color w:val="000000" w:themeColor="text1"/>
        </w:rPr>
        <w:t>En conclusión, el patrimonio de Capital Salud EPS-S durante 2025 presenta una tendencia de debilitamiento importante, caracterizada por pérdidas acumuladas elevadas, resultados negativos del ejercicio y un margen patrimonial reducido al cierre de diciembre. Aunque la entidad no registra patrimonio negativo al finalizar la vigencia, el nivel observado exige seguimiento estrecho y la formulación de medidas orientadas a la recuperación patrimonial, control del gasto asistencial, depuración de pasivos, gestión de provisiones, fortalecimiento de ingresos y reducción de presiones operativas que puedan continuar deteriorando la solvencia de la EPS.</w:t>
      </w:r>
    </w:p>
    <w:p w14:paraId="11BA9BB6" w14:textId="77777777" w:rsidR="009F762E" w:rsidRPr="00242DFB" w:rsidRDefault="009F762E" w:rsidP="005B2285">
      <w:pPr>
        <w:shd w:val="clear" w:color="auto" w:fill="FFFFFF" w:themeFill="background1"/>
        <w:spacing w:line="360" w:lineRule="auto"/>
        <w:jc w:val="both"/>
        <w:rPr>
          <w:rFonts w:ascii="Arial" w:eastAsia="Arial" w:hAnsi="Arial" w:cs="Arial"/>
          <w:b/>
          <w:bCs/>
          <w:color w:val="000000" w:themeColor="text1"/>
        </w:rPr>
      </w:pPr>
    </w:p>
    <w:p w14:paraId="5C1C3EFE" w14:textId="0D2F3E61" w:rsidR="00756028" w:rsidRDefault="00756028" w:rsidP="005B2285">
      <w:pPr>
        <w:pStyle w:val="Ttulo2"/>
        <w:numPr>
          <w:ilvl w:val="1"/>
          <w:numId w:val="7"/>
        </w:numPr>
        <w:spacing w:before="0" w:line="360" w:lineRule="auto"/>
        <w:rPr>
          <w:rFonts w:ascii="Arial" w:hAnsi="Arial" w:cs="Arial"/>
          <w:b/>
          <w:bCs/>
          <w:color w:val="000000" w:themeColor="text1"/>
          <w:sz w:val="24"/>
          <w:szCs w:val="24"/>
        </w:rPr>
      </w:pPr>
      <w:bookmarkStart w:id="113" w:name="_Toc233574854"/>
      <w:r>
        <w:rPr>
          <w:rFonts w:ascii="Arial" w:hAnsi="Arial" w:cs="Arial"/>
          <w:b/>
          <w:bCs/>
          <w:color w:val="000000" w:themeColor="text1"/>
          <w:sz w:val="24"/>
          <w:szCs w:val="24"/>
        </w:rPr>
        <w:t>Cuentas por pagar</w:t>
      </w:r>
      <w:bookmarkEnd w:id="113"/>
    </w:p>
    <w:p w14:paraId="23B4687F" w14:textId="77777777" w:rsidR="00756028" w:rsidRDefault="00756028" w:rsidP="005B2285"/>
    <w:p w14:paraId="137D29AB" w14:textId="3F316929" w:rsidR="00756028" w:rsidRDefault="00756028" w:rsidP="005B2285">
      <w:pPr>
        <w:spacing w:line="360" w:lineRule="auto"/>
        <w:jc w:val="both"/>
        <w:rPr>
          <w:rFonts w:ascii="Arial" w:hAnsi="Arial" w:cs="Arial"/>
        </w:rPr>
      </w:pPr>
      <w:r w:rsidRPr="00756028">
        <w:rPr>
          <w:rFonts w:ascii="Arial" w:hAnsi="Arial" w:cs="Arial"/>
        </w:rPr>
        <w:t xml:space="preserve">Según las cifras reportadas por </w:t>
      </w:r>
      <w:r w:rsidRPr="00756028">
        <w:rPr>
          <w:rFonts w:ascii="Arial" w:hAnsi="Arial" w:cs="Arial"/>
          <w:b/>
          <w:bCs/>
        </w:rPr>
        <w:t>Capital Salud EPS-S</w:t>
      </w:r>
      <w:r w:rsidRPr="00756028">
        <w:rPr>
          <w:rFonts w:ascii="Arial" w:hAnsi="Arial" w:cs="Arial"/>
        </w:rPr>
        <w:t xml:space="preserve"> en el Formato FT001, durante el periodo enero-diciembre de 2025</w:t>
      </w:r>
      <w:r>
        <w:rPr>
          <w:rFonts w:ascii="Arial" w:hAnsi="Arial" w:cs="Arial"/>
        </w:rPr>
        <w:t xml:space="preserve"> que muestra a continuación las gráfica 6,</w:t>
      </w:r>
      <w:r w:rsidRPr="00756028">
        <w:rPr>
          <w:rFonts w:ascii="Arial" w:hAnsi="Arial" w:cs="Arial"/>
        </w:rPr>
        <w:t xml:space="preserve"> se evidencia un incremento relevante de las obligaciones registradas en el pasivo, especialmente aquellas asociadas a cuentas por pagar a proveedores médicos y demás obligaciones operativas. El total de pasivos pasó de </w:t>
      </w:r>
      <w:r w:rsidRPr="00756028">
        <w:rPr>
          <w:rFonts w:ascii="Arial" w:hAnsi="Arial" w:cs="Arial"/>
          <w:b/>
          <w:bCs/>
        </w:rPr>
        <w:t>$404.258 millones</w:t>
      </w:r>
      <w:r w:rsidRPr="00756028">
        <w:rPr>
          <w:rFonts w:ascii="Arial" w:hAnsi="Arial" w:cs="Arial"/>
        </w:rPr>
        <w:t xml:space="preserve"> en enero a </w:t>
      </w:r>
      <w:r w:rsidRPr="00756028">
        <w:rPr>
          <w:rFonts w:ascii="Arial" w:hAnsi="Arial" w:cs="Arial"/>
          <w:b/>
          <w:bCs/>
        </w:rPr>
        <w:t>$466.797 millones</w:t>
      </w:r>
      <w:r w:rsidRPr="00756028">
        <w:rPr>
          <w:rFonts w:ascii="Arial" w:hAnsi="Arial" w:cs="Arial"/>
        </w:rPr>
        <w:t xml:space="preserve"> en diciembre de 2025, lo que representa un aumento de </w:t>
      </w:r>
      <w:r w:rsidRPr="00756028">
        <w:rPr>
          <w:rFonts w:ascii="Arial" w:hAnsi="Arial" w:cs="Arial"/>
          <w:b/>
          <w:bCs/>
        </w:rPr>
        <w:t>$62.539 millones</w:t>
      </w:r>
      <w:r w:rsidRPr="00756028">
        <w:rPr>
          <w:rFonts w:ascii="Arial" w:hAnsi="Arial" w:cs="Arial"/>
        </w:rPr>
        <w:t xml:space="preserve">, equivalente a una variación aproximada del </w:t>
      </w:r>
      <w:r w:rsidRPr="00756028">
        <w:rPr>
          <w:rFonts w:ascii="Arial" w:hAnsi="Arial" w:cs="Arial"/>
          <w:b/>
          <w:bCs/>
        </w:rPr>
        <w:t>15,5%</w:t>
      </w:r>
      <w:r w:rsidRPr="00756028">
        <w:rPr>
          <w:rFonts w:ascii="Arial" w:hAnsi="Arial" w:cs="Arial"/>
        </w:rPr>
        <w:t>.</w:t>
      </w:r>
    </w:p>
    <w:p w14:paraId="13C9A737" w14:textId="77777777" w:rsidR="00756028" w:rsidRDefault="00756028" w:rsidP="005B2285">
      <w:pPr>
        <w:spacing w:line="360" w:lineRule="auto"/>
        <w:jc w:val="both"/>
        <w:rPr>
          <w:rFonts w:ascii="Arial" w:hAnsi="Arial" w:cs="Arial"/>
        </w:rPr>
      </w:pPr>
    </w:p>
    <w:p w14:paraId="7F48DBFC" w14:textId="77777777" w:rsidR="00756028" w:rsidRPr="00242DFB" w:rsidRDefault="00756028" w:rsidP="005B2285">
      <w:pPr>
        <w:spacing w:line="360" w:lineRule="auto"/>
        <w:rPr>
          <w:rFonts w:ascii="Arial" w:hAnsi="Arial" w:cs="Arial"/>
          <w:color w:val="000000" w:themeColor="text1"/>
        </w:rPr>
      </w:pPr>
    </w:p>
    <w:p w14:paraId="292C415E" w14:textId="77777777" w:rsidR="00756028" w:rsidRPr="00242DFB" w:rsidRDefault="00756028" w:rsidP="005B2285">
      <w:pPr>
        <w:spacing w:line="360" w:lineRule="auto"/>
        <w:jc w:val="center"/>
        <w:rPr>
          <w:rFonts w:ascii="Arial" w:eastAsia="Arial" w:hAnsi="Arial" w:cs="Arial"/>
          <w:color w:val="000000" w:themeColor="text1"/>
        </w:rPr>
      </w:pPr>
      <w:r w:rsidRPr="00242DFB">
        <w:rPr>
          <w:rFonts w:ascii="Arial" w:hAnsi="Arial" w:cs="Arial"/>
          <w:noProof/>
          <w:color w:val="000000"/>
        </w:rPr>
        <w:lastRenderedPageBreak/>
        <w:drawing>
          <wp:anchor distT="0" distB="0" distL="114300" distR="114300" simplePos="0" relativeHeight="251679232" behindDoc="0" locked="0" layoutInCell="1" allowOverlap="1" wp14:anchorId="702C2EDC" wp14:editId="6A0E9432">
            <wp:simplePos x="0" y="0"/>
            <wp:positionH relativeFrom="column">
              <wp:posOffset>-594360</wp:posOffset>
            </wp:positionH>
            <wp:positionV relativeFrom="paragraph">
              <wp:posOffset>423545</wp:posOffset>
            </wp:positionV>
            <wp:extent cx="7067550" cy="3800475"/>
            <wp:effectExtent l="0" t="0" r="0" b="0"/>
            <wp:wrapSquare wrapText="bothSides"/>
            <wp:docPr id="8"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margin">
              <wp14:pctWidth>0</wp14:pctWidth>
            </wp14:sizeRelH>
          </wp:anchor>
        </w:drawing>
      </w:r>
      <w:r>
        <w:rPr>
          <w:noProof/>
        </w:rPr>
        <mc:AlternateContent>
          <mc:Choice Requires="wps">
            <w:drawing>
              <wp:anchor distT="0" distB="0" distL="114300" distR="114300" simplePos="0" relativeHeight="251680256" behindDoc="0" locked="0" layoutInCell="1" allowOverlap="1" wp14:anchorId="4C58401E" wp14:editId="70A0A5B3">
                <wp:simplePos x="0" y="0"/>
                <wp:positionH relativeFrom="column">
                  <wp:posOffset>-594360</wp:posOffset>
                </wp:positionH>
                <wp:positionV relativeFrom="paragraph">
                  <wp:posOffset>0</wp:posOffset>
                </wp:positionV>
                <wp:extent cx="7067550" cy="457200"/>
                <wp:effectExtent l="0" t="0" r="0" b="0"/>
                <wp:wrapSquare wrapText="bothSides"/>
                <wp:docPr id="27" name="Cuadro de texto 27"/>
                <wp:cNvGraphicFramePr/>
                <a:graphic xmlns:a="http://schemas.openxmlformats.org/drawingml/2006/main">
                  <a:graphicData uri="http://schemas.microsoft.com/office/word/2010/wordprocessingShape">
                    <wps:wsp>
                      <wps:cNvSpPr txBox="1"/>
                      <wps:spPr>
                        <a:xfrm>
                          <a:off x="0" y="0"/>
                          <a:ext cx="7067550" cy="457200"/>
                        </a:xfrm>
                        <a:prstGeom prst="rect">
                          <a:avLst/>
                        </a:prstGeom>
                        <a:solidFill>
                          <a:prstClr val="white"/>
                        </a:solidFill>
                        <a:ln>
                          <a:noFill/>
                        </a:ln>
                      </wps:spPr>
                      <wps:txbx>
                        <w:txbxContent>
                          <w:p w14:paraId="0B88198D" w14:textId="77777777" w:rsidR="00756028" w:rsidRPr="001544BD" w:rsidRDefault="00756028" w:rsidP="00756028">
                            <w:pPr>
                              <w:pStyle w:val="Descripcin"/>
                              <w:jc w:val="center"/>
                              <w:rPr>
                                <w:rFonts w:ascii="Arial" w:hAnsi="Arial" w:cs="Arial"/>
                                <w:noProof/>
                                <w:color w:val="000000" w:themeColor="text1"/>
                                <w:sz w:val="22"/>
                                <w:szCs w:val="22"/>
                              </w:rPr>
                            </w:pPr>
                            <w:bookmarkStart w:id="114" w:name="_Toc233568862"/>
                            <w:r w:rsidRPr="001544BD">
                              <w:rPr>
                                <w:rFonts w:ascii="Arial" w:hAnsi="Arial" w:cs="Arial"/>
                                <w:color w:val="000000" w:themeColor="text1"/>
                                <w:sz w:val="22"/>
                                <w:szCs w:val="22"/>
                              </w:rPr>
                              <w:t xml:space="preserve">Gráfica </w:t>
                            </w:r>
                            <w:r w:rsidRPr="001544BD">
                              <w:rPr>
                                <w:rFonts w:ascii="Arial" w:hAnsi="Arial" w:cs="Arial"/>
                                <w:color w:val="000000" w:themeColor="text1"/>
                                <w:sz w:val="22"/>
                                <w:szCs w:val="22"/>
                              </w:rPr>
                              <w:fldChar w:fldCharType="begin"/>
                            </w:r>
                            <w:r w:rsidRPr="001544BD">
                              <w:rPr>
                                <w:rFonts w:ascii="Arial" w:hAnsi="Arial" w:cs="Arial"/>
                                <w:color w:val="000000" w:themeColor="text1"/>
                                <w:sz w:val="22"/>
                                <w:szCs w:val="22"/>
                              </w:rPr>
                              <w:instrText xml:space="preserve"> SEQ Gráfica \* ARABIC </w:instrText>
                            </w:r>
                            <w:r w:rsidRPr="001544BD">
                              <w:rPr>
                                <w:rFonts w:ascii="Arial" w:hAnsi="Arial" w:cs="Arial"/>
                                <w:color w:val="000000" w:themeColor="text1"/>
                                <w:sz w:val="22"/>
                                <w:szCs w:val="22"/>
                              </w:rPr>
                              <w:fldChar w:fldCharType="separate"/>
                            </w:r>
                            <w:r>
                              <w:rPr>
                                <w:rFonts w:ascii="Arial" w:hAnsi="Arial" w:cs="Arial"/>
                                <w:noProof/>
                                <w:color w:val="000000" w:themeColor="text1"/>
                                <w:sz w:val="22"/>
                                <w:szCs w:val="22"/>
                              </w:rPr>
                              <w:t>6</w:t>
                            </w:r>
                            <w:r w:rsidRPr="001544BD">
                              <w:rPr>
                                <w:rFonts w:ascii="Arial" w:hAnsi="Arial" w:cs="Arial"/>
                                <w:color w:val="000000" w:themeColor="text1"/>
                                <w:sz w:val="22"/>
                                <w:szCs w:val="22"/>
                              </w:rPr>
                              <w:fldChar w:fldCharType="end"/>
                            </w:r>
                            <w:r w:rsidRPr="001544BD">
                              <w:rPr>
                                <w:rFonts w:ascii="Arial" w:hAnsi="Arial" w:cs="Arial"/>
                                <w:color w:val="000000" w:themeColor="text1"/>
                                <w:sz w:val="22"/>
                                <w:szCs w:val="22"/>
                              </w:rPr>
                              <w:t>. Cuentas por pagar y total de pasivos (cifras en millones de pesos colombianos)</w:t>
                            </w:r>
                            <w:bookmarkEnd w:id="114"/>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C58401E" id="Cuadro de texto 27" o:spid="_x0000_s1030" type="#_x0000_t202" style="position:absolute;left:0;text-align:left;margin-left:-46.8pt;margin-top:0;width:556.5pt;height:36pt;z-index:251680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5yzGwIAAEIEAAAOAAAAZHJzL2Uyb0RvYy54bWysU1GP2jAMfp+0/xDlfRTQOKaKcmKcmCah&#10;u5O46Z5DmtBIaZw5gZb9+jkthe22p2kvqWs7dvx9nxf3bW3ZSWEw4Ao+GY05U05Cadyh4N9eNh8+&#10;cRaicKWw4FTBzyrw++X7d4vG52oKFdhSIaMiLuSNL3gVo8+zLMhK1SKMwCtHQQ1Yi0i/eMhKFA1V&#10;r202HY/vsgaw9AhShUDehz7Il119rZWMT1oHFZktOL0tdid25z6d2XIh8gMKXxl5eYb4h1fUwjhq&#10;ei31IKJgRzR/lKqNRAig40hCnYHWRqpuBppmMn4zza4SXnWzEDjBX2EK/6+sfDzt/DOy2H6GlghM&#10;gDQ+5IGcaZ5WY52+9FJGcYLwfIVNtZFJcs7Hd/PZjEKSYh9nc+Illclutz2G+EVBzZJRcCRaOrTE&#10;aRtinzqkpGYBrCk3xtr0kwJri+wkiMKmMlFdiv+WZV3KdZBu9QWTJ7uNkqzY7ltmyoJPhzH3UJ5p&#10;eoReGMHLjaF+WxHis0BSAk1F6o5PdGgLTcHhYnFWAf74mz/lE0EU5awhZRU8fD8KVJzZr46oSzIc&#10;DByM/WC4Y70GmnRCe+NlZ9IFjHYwNUL9SqJfpS4UEk5Sr4LHwVzHXt+0NFKtVl0Sic2LuHU7L1Pp&#10;AdeX9lWgv7ASic9HGDQn8jfk9Lk9yqtjBG065hKuPYoXuEmoHfeXpUqb8Ot/l3Vb/eVPAAAA//8D&#10;AFBLAwQUAAYACAAAACEA9GmZjd4AAAAIAQAADwAAAGRycy9kb3ducmV2LnhtbEyPwU7DMBBE70j8&#10;g7VIXFBrN6BAQ5wKWrjBoaXqeRsvSUS8jmKnSf8e9wTH0Yxm3uSrybbiRL1vHGtYzBUI4tKZhisN&#10;+6/32RMIH5ANto5Jw5k8rIrrqxwz40be0mkXKhFL2GeooQ6hy6T0ZU0W/dx1xNH7dr3FEGVfSdPj&#10;GMttKxOlUmmx4bhQY0frmsqf3WA1pJt+GLe8vtvs3z7ws6uSw+v5oPXtzfTyDCLQFP7CcMGP6FBE&#10;pqMb2HjRapgt79MY1RAfXWy1WD6AOGp4TBTIIpf/DxS/AAAA//8DAFBLAQItABQABgAIAAAAIQC2&#10;gziS/gAAAOEBAAATAAAAAAAAAAAAAAAAAAAAAABbQ29udGVudF9UeXBlc10ueG1sUEsBAi0AFAAG&#10;AAgAAAAhADj9If/WAAAAlAEAAAsAAAAAAAAAAAAAAAAALwEAAF9yZWxzLy5yZWxzUEsBAi0AFAAG&#10;AAgAAAAhABGznLMbAgAAQgQAAA4AAAAAAAAAAAAAAAAALgIAAGRycy9lMm9Eb2MueG1sUEsBAi0A&#10;FAAGAAgAAAAhAPRpmY3eAAAACAEAAA8AAAAAAAAAAAAAAAAAdQQAAGRycy9kb3ducmV2LnhtbFBL&#10;BQYAAAAABAAEAPMAAACABQAAAAA=&#10;" stroked="f">
                <v:textbox inset="0,0,0,0">
                  <w:txbxContent>
                    <w:p w14:paraId="0B88198D" w14:textId="77777777" w:rsidR="00756028" w:rsidRPr="001544BD" w:rsidRDefault="00756028" w:rsidP="00756028">
                      <w:pPr>
                        <w:pStyle w:val="Descripcin"/>
                        <w:jc w:val="center"/>
                        <w:rPr>
                          <w:rFonts w:ascii="Arial" w:hAnsi="Arial" w:cs="Arial"/>
                          <w:noProof/>
                          <w:color w:val="000000" w:themeColor="text1"/>
                          <w:sz w:val="22"/>
                          <w:szCs w:val="22"/>
                        </w:rPr>
                      </w:pPr>
                      <w:bookmarkStart w:id="115" w:name="_Toc233568862"/>
                      <w:r w:rsidRPr="001544BD">
                        <w:rPr>
                          <w:rFonts w:ascii="Arial" w:hAnsi="Arial" w:cs="Arial"/>
                          <w:color w:val="000000" w:themeColor="text1"/>
                          <w:sz w:val="22"/>
                          <w:szCs w:val="22"/>
                        </w:rPr>
                        <w:t xml:space="preserve">Gráfica </w:t>
                      </w:r>
                      <w:r w:rsidRPr="001544BD">
                        <w:rPr>
                          <w:rFonts w:ascii="Arial" w:hAnsi="Arial" w:cs="Arial"/>
                          <w:color w:val="000000" w:themeColor="text1"/>
                          <w:sz w:val="22"/>
                          <w:szCs w:val="22"/>
                        </w:rPr>
                        <w:fldChar w:fldCharType="begin"/>
                      </w:r>
                      <w:r w:rsidRPr="001544BD">
                        <w:rPr>
                          <w:rFonts w:ascii="Arial" w:hAnsi="Arial" w:cs="Arial"/>
                          <w:color w:val="000000" w:themeColor="text1"/>
                          <w:sz w:val="22"/>
                          <w:szCs w:val="22"/>
                        </w:rPr>
                        <w:instrText xml:space="preserve"> SEQ Gráfica \* ARABIC </w:instrText>
                      </w:r>
                      <w:r w:rsidRPr="001544BD">
                        <w:rPr>
                          <w:rFonts w:ascii="Arial" w:hAnsi="Arial" w:cs="Arial"/>
                          <w:color w:val="000000" w:themeColor="text1"/>
                          <w:sz w:val="22"/>
                          <w:szCs w:val="22"/>
                        </w:rPr>
                        <w:fldChar w:fldCharType="separate"/>
                      </w:r>
                      <w:r>
                        <w:rPr>
                          <w:rFonts w:ascii="Arial" w:hAnsi="Arial" w:cs="Arial"/>
                          <w:noProof/>
                          <w:color w:val="000000" w:themeColor="text1"/>
                          <w:sz w:val="22"/>
                          <w:szCs w:val="22"/>
                        </w:rPr>
                        <w:t>6</w:t>
                      </w:r>
                      <w:r w:rsidRPr="001544BD">
                        <w:rPr>
                          <w:rFonts w:ascii="Arial" w:hAnsi="Arial" w:cs="Arial"/>
                          <w:color w:val="000000" w:themeColor="text1"/>
                          <w:sz w:val="22"/>
                          <w:szCs w:val="22"/>
                        </w:rPr>
                        <w:fldChar w:fldCharType="end"/>
                      </w:r>
                      <w:r w:rsidRPr="001544BD">
                        <w:rPr>
                          <w:rFonts w:ascii="Arial" w:hAnsi="Arial" w:cs="Arial"/>
                          <w:color w:val="000000" w:themeColor="text1"/>
                          <w:sz w:val="22"/>
                          <w:szCs w:val="22"/>
                        </w:rPr>
                        <w:t>. Cuentas por pagar y total de pasivos (cifras en millones de pesos colombianos)</w:t>
                      </w:r>
                      <w:bookmarkEnd w:id="115"/>
                    </w:p>
                  </w:txbxContent>
                </v:textbox>
                <w10:wrap type="square"/>
              </v:shape>
            </w:pict>
          </mc:Fallback>
        </mc:AlternateContent>
      </w:r>
    </w:p>
    <w:p w14:paraId="21D47F81" w14:textId="77777777" w:rsidR="00756028" w:rsidRPr="00171EA9" w:rsidRDefault="00756028" w:rsidP="005B2285">
      <w:pPr>
        <w:spacing w:line="360" w:lineRule="auto"/>
        <w:rPr>
          <w:rFonts w:ascii="Arial" w:hAnsi="Arial" w:cs="Arial"/>
          <w:color w:val="000000" w:themeColor="text1"/>
          <w:sz w:val="16"/>
          <w:szCs w:val="16"/>
        </w:rPr>
      </w:pPr>
      <w:r w:rsidRPr="00171EA9">
        <w:rPr>
          <w:rFonts w:ascii="Arial" w:eastAsia="Arial" w:hAnsi="Arial" w:cs="Arial"/>
          <w:color w:val="000000"/>
          <w:sz w:val="16"/>
          <w:szCs w:val="16"/>
        </w:rPr>
        <w:t xml:space="preserve">Fuente: Capital Salud EPS-S. Formato FT001 – Información financiera reportada (corte enero a diciembre de 2025). </w:t>
      </w:r>
    </w:p>
    <w:p w14:paraId="0EE89425" w14:textId="77777777" w:rsidR="00756028" w:rsidRDefault="00756028" w:rsidP="005B2285">
      <w:pPr>
        <w:spacing w:line="360" w:lineRule="auto"/>
        <w:jc w:val="both"/>
        <w:rPr>
          <w:rFonts w:ascii="Arial" w:hAnsi="Arial" w:cs="Arial"/>
        </w:rPr>
      </w:pPr>
    </w:p>
    <w:p w14:paraId="43B45093" w14:textId="77777777" w:rsidR="00756028" w:rsidRDefault="00756028" w:rsidP="005B2285">
      <w:pPr>
        <w:spacing w:line="360" w:lineRule="auto"/>
        <w:jc w:val="both"/>
        <w:rPr>
          <w:rFonts w:ascii="Arial" w:hAnsi="Arial" w:cs="Arial"/>
        </w:rPr>
      </w:pPr>
      <w:r w:rsidRPr="00756028">
        <w:rPr>
          <w:rFonts w:ascii="Arial" w:hAnsi="Arial" w:cs="Arial"/>
        </w:rPr>
        <w:t xml:space="preserve">Dentro de este comportamiento, las </w:t>
      </w:r>
      <w:r w:rsidRPr="00756028">
        <w:rPr>
          <w:rFonts w:ascii="Arial" w:hAnsi="Arial" w:cs="Arial"/>
          <w:b/>
          <w:bCs/>
        </w:rPr>
        <w:t>cuentas por pagar a proveedores médicos</w:t>
      </w:r>
      <w:r w:rsidRPr="00756028">
        <w:rPr>
          <w:rFonts w:ascii="Arial" w:hAnsi="Arial" w:cs="Arial"/>
        </w:rPr>
        <w:t xml:space="preserve"> constituyen uno de los componentes de mayor relevancia, al pasar de </w:t>
      </w:r>
      <w:r w:rsidRPr="00756028">
        <w:rPr>
          <w:rFonts w:ascii="Arial" w:hAnsi="Arial" w:cs="Arial"/>
          <w:b/>
          <w:bCs/>
        </w:rPr>
        <w:t>$177.533 millones</w:t>
      </w:r>
      <w:r w:rsidRPr="00756028">
        <w:rPr>
          <w:rFonts w:ascii="Arial" w:hAnsi="Arial" w:cs="Arial"/>
        </w:rPr>
        <w:t xml:space="preserve"> en enero a </w:t>
      </w:r>
      <w:r w:rsidRPr="00756028">
        <w:rPr>
          <w:rFonts w:ascii="Arial" w:hAnsi="Arial" w:cs="Arial"/>
          <w:b/>
          <w:bCs/>
        </w:rPr>
        <w:t>$215.672 millones</w:t>
      </w:r>
      <w:r w:rsidRPr="00756028">
        <w:rPr>
          <w:rFonts w:ascii="Arial" w:hAnsi="Arial" w:cs="Arial"/>
        </w:rPr>
        <w:t xml:space="preserve"> en diciembre, con un incremento de </w:t>
      </w:r>
      <w:r w:rsidRPr="00756028">
        <w:rPr>
          <w:rFonts w:ascii="Arial" w:hAnsi="Arial" w:cs="Arial"/>
          <w:b/>
          <w:bCs/>
        </w:rPr>
        <w:t>$38.139 millones</w:t>
      </w:r>
      <w:r w:rsidRPr="00756028">
        <w:rPr>
          <w:rFonts w:ascii="Arial" w:hAnsi="Arial" w:cs="Arial"/>
        </w:rPr>
        <w:t xml:space="preserve">, equivalente a </w:t>
      </w:r>
      <w:r w:rsidRPr="00756028">
        <w:rPr>
          <w:rFonts w:ascii="Arial" w:hAnsi="Arial" w:cs="Arial"/>
          <w:b/>
          <w:bCs/>
        </w:rPr>
        <w:t>21,5%</w:t>
      </w:r>
      <w:r w:rsidRPr="00756028">
        <w:rPr>
          <w:rFonts w:ascii="Arial" w:hAnsi="Arial" w:cs="Arial"/>
        </w:rPr>
        <w:t>. Este crecimiento resulta significativo, dado que corresponde a obligaciones directamente relacionadas con la red prestadora de servicios de salud y, por tanto, puede incidir en la estabilidad contractual, la continuidad de la atención, la oportunidad en la prestación de servicios y la relación operativa con IPS, proveedores y demás actores de la red.</w:t>
      </w:r>
    </w:p>
    <w:p w14:paraId="03B3CDC2" w14:textId="77777777" w:rsidR="00756028" w:rsidRPr="00756028" w:rsidRDefault="00756028" w:rsidP="005B2285">
      <w:pPr>
        <w:spacing w:line="360" w:lineRule="auto"/>
        <w:jc w:val="both"/>
        <w:rPr>
          <w:rFonts w:ascii="Arial" w:hAnsi="Arial" w:cs="Arial"/>
        </w:rPr>
      </w:pPr>
    </w:p>
    <w:p w14:paraId="7783EDDE" w14:textId="77777777" w:rsidR="00756028" w:rsidRDefault="00756028" w:rsidP="005B2285">
      <w:pPr>
        <w:spacing w:line="360" w:lineRule="auto"/>
        <w:jc w:val="both"/>
        <w:rPr>
          <w:rFonts w:ascii="Arial" w:hAnsi="Arial" w:cs="Arial"/>
        </w:rPr>
      </w:pPr>
      <w:r w:rsidRPr="00756028">
        <w:rPr>
          <w:rFonts w:ascii="Arial" w:hAnsi="Arial" w:cs="Arial"/>
        </w:rPr>
        <w:t xml:space="preserve">Adicionalmente, al considerar las cuentas por pagar administrativas y otras cuentas por pagar, el saldo conjunto de cuentas por pagar identificadas en la tabla pasa de aproximadamente </w:t>
      </w:r>
      <w:r w:rsidRPr="00756028">
        <w:rPr>
          <w:rFonts w:ascii="Arial" w:hAnsi="Arial" w:cs="Arial"/>
          <w:b/>
          <w:bCs/>
        </w:rPr>
        <w:t>$178.693 millones</w:t>
      </w:r>
      <w:r w:rsidRPr="00756028">
        <w:rPr>
          <w:rFonts w:ascii="Arial" w:hAnsi="Arial" w:cs="Arial"/>
        </w:rPr>
        <w:t xml:space="preserve"> en enero a </w:t>
      </w:r>
      <w:r w:rsidRPr="00756028">
        <w:rPr>
          <w:rFonts w:ascii="Arial" w:hAnsi="Arial" w:cs="Arial"/>
          <w:b/>
          <w:bCs/>
        </w:rPr>
        <w:t>$217.156 millones</w:t>
      </w:r>
      <w:r w:rsidRPr="00756028">
        <w:rPr>
          <w:rFonts w:ascii="Arial" w:hAnsi="Arial" w:cs="Arial"/>
        </w:rPr>
        <w:t xml:space="preserve"> en diciembre de 2025. Este aumento confirma una mayor presión sobre las obligaciones de corto </w:t>
      </w:r>
      <w:r w:rsidRPr="00756028">
        <w:rPr>
          <w:rFonts w:ascii="Arial" w:hAnsi="Arial" w:cs="Arial"/>
        </w:rPr>
        <w:lastRenderedPageBreak/>
        <w:t>y mediano plazo de la EPS, en un contexto en el que el crecimiento del pasivo supera el crecimiento del activo y el patrimonio presenta un deterioro relevante durante la vigencia.</w:t>
      </w:r>
    </w:p>
    <w:p w14:paraId="43CDE315" w14:textId="77777777" w:rsidR="00756028" w:rsidRPr="00756028" w:rsidRDefault="00756028" w:rsidP="005B2285">
      <w:pPr>
        <w:spacing w:line="360" w:lineRule="auto"/>
        <w:jc w:val="both"/>
        <w:rPr>
          <w:rFonts w:ascii="Arial" w:hAnsi="Arial" w:cs="Arial"/>
        </w:rPr>
      </w:pPr>
    </w:p>
    <w:p w14:paraId="1B494F04" w14:textId="77777777" w:rsidR="00756028" w:rsidRPr="00756028" w:rsidRDefault="00756028" w:rsidP="005B2285">
      <w:pPr>
        <w:spacing w:line="360" w:lineRule="auto"/>
        <w:jc w:val="both"/>
        <w:rPr>
          <w:rFonts w:ascii="Arial" w:hAnsi="Arial" w:cs="Arial"/>
        </w:rPr>
      </w:pPr>
      <w:r w:rsidRPr="00756028">
        <w:rPr>
          <w:rFonts w:ascii="Arial" w:hAnsi="Arial" w:cs="Arial"/>
        </w:rPr>
        <w:t>Desde el punto de vista financiero y operativo, el aumento sostenido de las cuentas por pagar puede afectar el flujo de recursos hacia la red prestadora, generar tensiones en la relación con los prestadores y aumentar el riesgo de barreras en la prestación efectiva de los servicios de salud. En el caso de una EPS con alta participación en población subsidiada y con alta demanda asistencial en Bogotá, el crecimiento de estas obligaciones debe analizarse como una señal de alerta frente a la capacidad de pago oportuno y la sostenibilidad de los acuerdos contractuales.</w:t>
      </w:r>
    </w:p>
    <w:p w14:paraId="66691F8C" w14:textId="77777777" w:rsidR="00756028" w:rsidRPr="00756028" w:rsidRDefault="00756028" w:rsidP="005B2285">
      <w:pPr>
        <w:spacing w:line="360" w:lineRule="auto"/>
        <w:jc w:val="both"/>
        <w:rPr>
          <w:rFonts w:ascii="Arial" w:hAnsi="Arial" w:cs="Arial"/>
        </w:rPr>
      </w:pPr>
      <w:r w:rsidRPr="00756028">
        <w:rPr>
          <w:rFonts w:ascii="Arial" w:hAnsi="Arial" w:cs="Arial"/>
        </w:rPr>
        <w:t>En consecuencia, se recomienda realizar seguimiento específico a la evolución de las cuentas por pagar, diferenciando obligaciones por tipo de acreedor, antigüedad de saldos, concentración por prestador, modalidad contractual, estado de glosa, conciliación y pago efectivo. Este análisis permitirá establecer si el crecimiento de las obligaciones corresponde a mayor operación asistencial, rezagos en pago, acumulación de cartera con la red o dificultades en la gestión del flujo de recursos.</w:t>
      </w:r>
    </w:p>
    <w:p w14:paraId="69EC288E" w14:textId="77777777" w:rsidR="00756028" w:rsidRDefault="00756028" w:rsidP="005B2285">
      <w:pPr>
        <w:spacing w:line="360" w:lineRule="auto"/>
        <w:jc w:val="both"/>
        <w:rPr>
          <w:rFonts w:ascii="Arial" w:hAnsi="Arial" w:cs="Arial"/>
        </w:rPr>
      </w:pPr>
      <w:r w:rsidRPr="00756028">
        <w:rPr>
          <w:rFonts w:ascii="Arial" w:hAnsi="Arial" w:cs="Arial"/>
          <w:b/>
          <w:bCs/>
        </w:rPr>
        <w:t>Fuente:</w:t>
      </w:r>
      <w:r w:rsidRPr="00756028">
        <w:rPr>
          <w:rFonts w:ascii="Arial" w:hAnsi="Arial" w:cs="Arial"/>
        </w:rPr>
        <w:t xml:space="preserve"> Capital Salud EPS-S. Formato FT001 – Información financiera reportada, corte enero-diciembre de 2025.</w:t>
      </w:r>
    </w:p>
    <w:p w14:paraId="6B513C64" w14:textId="77777777" w:rsidR="00756028" w:rsidRPr="00756028" w:rsidRDefault="00756028" w:rsidP="005B2285">
      <w:pPr>
        <w:spacing w:line="360" w:lineRule="auto"/>
        <w:jc w:val="both"/>
        <w:rPr>
          <w:rFonts w:ascii="Arial" w:hAnsi="Arial" w:cs="Arial"/>
        </w:rPr>
      </w:pPr>
    </w:p>
    <w:p w14:paraId="23DCC29A" w14:textId="2302DAFB" w:rsidR="00756028" w:rsidRPr="00756028" w:rsidRDefault="000B1D7F" w:rsidP="005B2285">
      <w:pPr>
        <w:pStyle w:val="Ttulo2"/>
        <w:numPr>
          <w:ilvl w:val="1"/>
          <w:numId w:val="7"/>
        </w:numPr>
        <w:spacing w:before="0" w:line="360" w:lineRule="auto"/>
        <w:rPr>
          <w:rFonts w:ascii="Arial" w:hAnsi="Arial" w:cs="Arial"/>
          <w:b/>
          <w:bCs/>
          <w:color w:val="000000" w:themeColor="text1"/>
          <w:sz w:val="24"/>
          <w:szCs w:val="24"/>
        </w:rPr>
      </w:pPr>
      <w:r>
        <w:rPr>
          <w:rFonts w:ascii="Arial" w:hAnsi="Arial" w:cs="Arial"/>
          <w:b/>
          <w:bCs/>
          <w:color w:val="000000" w:themeColor="text1"/>
          <w:sz w:val="24"/>
          <w:szCs w:val="24"/>
        </w:rPr>
        <w:t xml:space="preserve"> </w:t>
      </w:r>
      <w:bookmarkStart w:id="116" w:name="_Toc233574855"/>
      <w:r w:rsidR="00756028" w:rsidRPr="00756028">
        <w:rPr>
          <w:rFonts w:ascii="Arial" w:hAnsi="Arial" w:cs="Arial"/>
          <w:b/>
          <w:bCs/>
          <w:color w:val="000000" w:themeColor="text1"/>
          <w:sz w:val="24"/>
          <w:szCs w:val="24"/>
        </w:rPr>
        <w:t>Reservas técnicas</w:t>
      </w:r>
      <w:bookmarkEnd w:id="116"/>
      <w:r w:rsidR="00756028" w:rsidRPr="00756028">
        <w:rPr>
          <w:rFonts w:ascii="Arial" w:hAnsi="Arial" w:cs="Arial"/>
          <w:b/>
          <w:bCs/>
          <w:color w:val="000000" w:themeColor="text1"/>
          <w:sz w:val="24"/>
          <w:szCs w:val="24"/>
        </w:rPr>
        <w:t xml:space="preserve"> </w:t>
      </w:r>
    </w:p>
    <w:p w14:paraId="19AE5344" w14:textId="77777777" w:rsidR="00756028" w:rsidRDefault="00756028" w:rsidP="005B2285">
      <w:pPr>
        <w:spacing w:line="360" w:lineRule="auto"/>
        <w:jc w:val="both"/>
        <w:rPr>
          <w:rFonts w:ascii="Arial" w:hAnsi="Arial" w:cs="Arial"/>
        </w:rPr>
      </w:pPr>
    </w:p>
    <w:p w14:paraId="672260D0" w14:textId="2686BA85" w:rsidR="00756028" w:rsidRDefault="00756028" w:rsidP="005B2285">
      <w:pPr>
        <w:spacing w:line="360" w:lineRule="auto"/>
        <w:jc w:val="both"/>
        <w:rPr>
          <w:rFonts w:ascii="Arial" w:hAnsi="Arial" w:cs="Arial"/>
        </w:rPr>
      </w:pPr>
      <w:r w:rsidRPr="00756028">
        <w:rPr>
          <w:rFonts w:ascii="Arial" w:hAnsi="Arial" w:cs="Arial"/>
        </w:rPr>
        <w:t>De manera complementaria al análisis de cuentas por pagar, resulta necesario evaluar el comportamiento de las reservas técnicas, provisiones y demás estimaciones contables asociadas al respaldo de obligaciones causadas, dado que estas partidas permiten aproximarse a la capacidad de la EPS para reconocer y respaldar financieramente los riesgos derivados de la prestación de servicios de salud, obligaciones pendientes y contingencias asociadas a la operación del aseguramiento.</w:t>
      </w:r>
    </w:p>
    <w:p w14:paraId="0C8F6BBB" w14:textId="77777777" w:rsidR="00756028" w:rsidRPr="00756028" w:rsidRDefault="00756028" w:rsidP="005B2285">
      <w:pPr>
        <w:spacing w:line="360" w:lineRule="auto"/>
        <w:jc w:val="both"/>
        <w:rPr>
          <w:rFonts w:ascii="Arial" w:hAnsi="Arial" w:cs="Arial"/>
        </w:rPr>
      </w:pPr>
    </w:p>
    <w:p w14:paraId="2CE907B8" w14:textId="77777777" w:rsidR="00756028" w:rsidRDefault="00756028" w:rsidP="005B2285">
      <w:pPr>
        <w:spacing w:line="360" w:lineRule="auto"/>
        <w:jc w:val="both"/>
        <w:rPr>
          <w:rFonts w:ascii="Arial" w:hAnsi="Arial" w:cs="Arial"/>
        </w:rPr>
      </w:pPr>
      <w:r w:rsidRPr="00756028">
        <w:rPr>
          <w:rFonts w:ascii="Arial" w:hAnsi="Arial" w:cs="Arial"/>
        </w:rPr>
        <w:lastRenderedPageBreak/>
        <w:t xml:space="preserve">En la información financiera reportada, la partida de </w:t>
      </w:r>
      <w:r w:rsidRPr="00756028">
        <w:rPr>
          <w:rFonts w:ascii="Arial" w:hAnsi="Arial" w:cs="Arial"/>
          <w:b/>
          <w:bCs/>
        </w:rPr>
        <w:t>provisiones</w:t>
      </w:r>
      <w:r w:rsidRPr="00756028">
        <w:rPr>
          <w:rFonts w:ascii="Arial" w:hAnsi="Arial" w:cs="Arial"/>
        </w:rPr>
        <w:t xml:space="preserve"> pasó de </w:t>
      </w:r>
      <w:r w:rsidRPr="00756028">
        <w:rPr>
          <w:rFonts w:ascii="Arial" w:hAnsi="Arial" w:cs="Arial"/>
          <w:b/>
          <w:bCs/>
        </w:rPr>
        <w:t>$217.652 millones</w:t>
      </w:r>
      <w:r w:rsidRPr="00756028">
        <w:rPr>
          <w:rFonts w:ascii="Arial" w:hAnsi="Arial" w:cs="Arial"/>
        </w:rPr>
        <w:t xml:space="preserve"> en enero a </w:t>
      </w:r>
      <w:r w:rsidRPr="00756028">
        <w:rPr>
          <w:rFonts w:ascii="Arial" w:hAnsi="Arial" w:cs="Arial"/>
          <w:b/>
          <w:bCs/>
        </w:rPr>
        <w:t>$241.689 millones</w:t>
      </w:r>
      <w:r w:rsidRPr="00756028">
        <w:rPr>
          <w:rFonts w:ascii="Arial" w:hAnsi="Arial" w:cs="Arial"/>
        </w:rPr>
        <w:t xml:space="preserve"> en diciembre de 2025, con un incremento de </w:t>
      </w:r>
      <w:r w:rsidRPr="00756028">
        <w:rPr>
          <w:rFonts w:ascii="Arial" w:hAnsi="Arial" w:cs="Arial"/>
          <w:b/>
          <w:bCs/>
        </w:rPr>
        <w:t>$24.037 millones</w:t>
      </w:r>
      <w:r w:rsidRPr="00756028">
        <w:rPr>
          <w:rFonts w:ascii="Arial" w:hAnsi="Arial" w:cs="Arial"/>
        </w:rPr>
        <w:t xml:space="preserve">, equivalente a una variación aproximada del </w:t>
      </w:r>
      <w:r w:rsidRPr="00756028">
        <w:rPr>
          <w:rFonts w:ascii="Arial" w:hAnsi="Arial" w:cs="Arial"/>
          <w:b/>
          <w:bCs/>
        </w:rPr>
        <w:t>11,0%</w:t>
      </w:r>
      <w:r w:rsidRPr="00756028">
        <w:rPr>
          <w:rFonts w:ascii="Arial" w:hAnsi="Arial" w:cs="Arial"/>
        </w:rPr>
        <w:t>. Este crecimiento evidencia una mayor estimación de obligaciones o contingencias durante la vigencia, lo cual debe ser interpretado en conjunto con el aumento de las cuentas por pagar, el deterioro patrimonial y el comportamiento del resultado del ejercicio.</w:t>
      </w:r>
    </w:p>
    <w:p w14:paraId="186AC0A5" w14:textId="77777777" w:rsidR="00756028" w:rsidRPr="00756028" w:rsidRDefault="00756028" w:rsidP="005B2285">
      <w:pPr>
        <w:spacing w:line="360" w:lineRule="auto"/>
        <w:jc w:val="both"/>
        <w:rPr>
          <w:rFonts w:ascii="Arial" w:hAnsi="Arial" w:cs="Arial"/>
        </w:rPr>
      </w:pPr>
    </w:p>
    <w:p w14:paraId="02D9F6DD" w14:textId="77777777" w:rsidR="00756028" w:rsidRDefault="00756028" w:rsidP="005B2285">
      <w:pPr>
        <w:spacing w:line="360" w:lineRule="auto"/>
        <w:jc w:val="both"/>
        <w:rPr>
          <w:rFonts w:ascii="Arial" w:hAnsi="Arial" w:cs="Arial"/>
        </w:rPr>
      </w:pPr>
      <w:r w:rsidRPr="00756028">
        <w:rPr>
          <w:rFonts w:ascii="Arial" w:hAnsi="Arial" w:cs="Arial"/>
        </w:rPr>
        <w:t>El incremento de las provisiones y obligaciones causadas presiona la suficiencia financiera de la entidad, en la medida en que demanda respaldo patrimonial, disponibilidad de flujo de caja y gestión efectiva de los recursos destinados a cubrir servicios ya prestados, autorizados, facturados o pendientes de reconocimiento. Si estas obligaciones no cuentan con un respaldo financiero suficiente y oportuno, pueden trasladarse presiones a la red prestadora, afectar la continuidad de los servicios y generar mayores riesgos operativos, financieros y asistenciales.</w:t>
      </w:r>
    </w:p>
    <w:p w14:paraId="45738581" w14:textId="77777777" w:rsidR="00756028" w:rsidRPr="00756028" w:rsidRDefault="00756028" w:rsidP="005B2285">
      <w:pPr>
        <w:spacing w:line="360" w:lineRule="auto"/>
        <w:jc w:val="both"/>
        <w:rPr>
          <w:rFonts w:ascii="Arial" w:hAnsi="Arial" w:cs="Arial"/>
        </w:rPr>
      </w:pPr>
    </w:p>
    <w:p w14:paraId="7EE027AA" w14:textId="77777777" w:rsidR="00756028" w:rsidRDefault="00756028" w:rsidP="005B2285">
      <w:pPr>
        <w:spacing w:line="360" w:lineRule="auto"/>
        <w:jc w:val="both"/>
        <w:rPr>
          <w:rFonts w:ascii="Arial" w:hAnsi="Arial" w:cs="Arial"/>
        </w:rPr>
      </w:pPr>
      <w:r w:rsidRPr="00756028">
        <w:rPr>
          <w:rFonts w:ascii="Arial" w:hAnsi="Arial" w:cs="Arial"/>
        </w:rPr>
        <w:t>Desde la perspectiva del aseguramiento, las reservas técnicas deben garantizar que la EPS cuente con soporte financiero suficiente para responder por los riesgos asumidos en salud, incluyendo servicios causados, obligaciones pendientes de pago, eventos conocidos no liquidados y demás compromisos derivados de la atención de su población afiliada. Por tanto, su análisis no debe realizarse de manera aislada, sino en relación con el nivel de siniestralidad, el crecimiento de las cuentas por pagar, la suficiencia de la UPC, el comportamiento de la red contratada y el resultado financiero del ejercicio.</w:t>
      </w:r>
    </w:p>
    <w:p w14:paraId="471B3EE0" w14:textId="77777777" w:rsidR="00756028" w:rsidRPr="00756028" w:rsidRDefault="00756028" w:rsidP="005B2285">
      <w:pPr>
        <w:spacing w:line="360" w:lineRule="auto"/>
        <w:jc w:val="both"/>
        <w:rPr>
          <w:rFonts w:ascii="Arial" w:hAnsi="Arial" w:cs="Arial"/>
        </w:rPr>
      </w:pPr>
    </w:p>
    <w:p w14:paraId="785EAB7A" w14:textId="77777777" w:rsidR="00756028" w:rsidRPr="00756028" w:rsidRDefault="00756028" w:rsidP="005B2285">
      <w:pPr>
        <w:spacing w:line="360" w:lineRule="auto"/>
        <w:jc w:val="both"/>
        <w:rPr>
          <w:rFonts w:ascii="Arial" w:hAnsi="Arial" w:cs="Arial"/>
        </w:rPr>
      </w:pPr>
      <w:r w:rsidRPr="00756028">
        <w:rPr>
          <w:rFonts w:ascii="Arial" w:hAnsi="Arial" w:cs="Arial"/>
        </w:rPr>
        <w:t>En este sentido, el crecimiento simultáneo de cuentas por pagar y provisiones sugiere una presión acumulada sobre la estructura financiera de Capital Salud EPS-S. Aunque las provisiones reflejan reconocimiento contable de obligaciones o riesgos, su incremento requiere verificar si existe respaldo efectivo en recursos disponibles, flujo proyectado, recuperación de cuentas por cobrar y capacidad patrimonial suficiente para cubrir dichas obligaciones sin comprometer la operación.</w:t>
      </w:r>
    </w:p>
    <w:p w14:paraId="62E56EDD" w14:textId="77777777" w:rsidR="00756028" w:rsidRPr="00756028" w:rsidRDefault="00756028" w:rsidP="005B2285">
      <w:pPr>
        <w:spacing w:line="360" w:lineRule="auto"/>
        <w:jc w:val="both"/>
        <w:rPr>
          <w:rFonts w:ascii="Arial" w:hAnsi="Arial" w:cs="Arial"/>
        </w:rPr>
      </w:pPr>
      <w:r w:rsidRPr="00756028">
        <w:rPr>
          <w:rFonts w:ascii="Arial" w:hAnsi="Arial" w:cs="Arial"/>
        </w:rPr>
        <w:lastRenderedPageBreak/>
        <w:t>En conclusión, el comportamiento de las reservas técnicas y provisiones durante 2025 evidencia la necesidad de fortalecer el seguimiento financiero de Capital Salud EPS-S, especialmente en lo relacionado con suficiencia de respaldo, depuración de obligaciones, conciliación con la red prestadora, análisis de glosas, control del gasto asistencial y consistencia entre obligaciones causadas y recursos disponibles. Este componente debe mantenerse como una alerta de seguimiento dentro del informe, dado que su deterioro puede afectar la sostenibilidad operativa de la EPS y la garantía de continuidad en la prestación de servicios de salud.</w:t>
      </w:r>
    </w:p>
    <w:p w14:paraId="16DB04C1" w14:textId="77777777" w:rsidR="00756028" w:rsidRPr="00756028" w:rsidRDefault="00756028" w:rsidP="005B2285">
      <w:pPr>
        <w:spacing w:line="360" w:lineRule="auto"/>
        <w:jc w:val="both"/>
        <w:rPr>
          <w:rFonts w:ascii="Arial" w:hAnsi="Arial" w:cs="Arial"/>
        </w:rPr>
      </w:pPr>
      <w:r w:rsidRPr="00756028">
        <w:rPr>
          <w:rFonts w:ascii="Arial" w:hAnsi="Arial" w:cs="Arial"/>
          <w:b/>
          <w:bCs/>
        </w:rPr>
        <w:t>Fuente:</w:t>
      </w:r>
      <w:r w:rsidRPr="00756028">
        <w:rPr>
          <w:rFonts w:ascii="Arial" w:hAnsi="Arial" w:cs="Arial"/>
        </w:rPr>
        <w:t xml:space="preserve"> Capital Salud EPS-S. Formato FT001 – Información financiera reportada, corte enero-diciembre de 2025.</w:t>
      </w:r>
    </w:p>
    <w:p w14:paraId="0E1F5D9A" w14:textId="77777777" w:rsidR="00756028" w:rsidRDefault="00756028" w:rsidP="005B2285">
      <w:pPr>
        <w:spacing w:line="360" w:lineRule="auto"/>
        <w:jc w:val="both"/>
        <w:rPr>
          <w:rFonts w:ascii="Arial" w:hAnsi="Arial" w:cs="Arial"/>
        </w:rPr>
      </w:pPr>
    </w:p>
    <w:p w14:paraId="1FAE6911" w14:textId="77777777" w:rsidR="00452AFC" w:rsidRPr="00242DFB" w:rsidRDefault="00452AFC" w:rsidP="005B2285">
      <w:pPr>
        <w:pStyle w:val="Ttulo2"/>
        <w:numPr>
          <w:ilvl w:val="1"/>
          <w:numId w:val="7"/>
        </w:numPr>
        <w:spacing w:before="0" w:line="360" w:lineRule="auto"/>
        <w:rPr>
          <w:rFonts w:ascii="Arial" w:hAnsi="Arial" w:cs="Arial"/>
          <w:b/>
          <w:bCs/>
          <w:color w:val="000000" w:themeColor="text1"/>
          <w:sz w:val="24"/>
          <w:szCs w:val="24"/>
        </w:rPr>
      </w:pPr>
      <w:bookmarkStart w:id="117" w:name="_Toc233574856"/>
      <w:r>
        <w:rPr>
          <w:rFonts w:ascii="Arial" w:hAnsi="Arial" w:cs="Arial"/>
          <w:b/>
          <w:bCs/>
          <w:color w:val="000000" w:themeColor="text1"/>
          <w:sz w:val="24"/>
          <w:szCs w:val="24"/>
        </w:rPr>
        <w:t>E</w:t>
      </w:r>
      <w:r w:rsidRPr="00452AFC">
        <w:rPr>
          <w:rFonts w:ascii="Arial" w:hAnsi="Arial" w:cs="Arial"/>
          <w:b/>
          <w:bCs/>
          <w:color w:val="000000" w:themeColor="text1"/>
          <w:sz w:val="24"/>
          <w:szCs w:val="24"/>
        </w:rPr>
        <w:t>ndeudamiento</w:t>
      </w:r>
      <w:bookmarkEnd w:id="117"/>
    </w:p>
    <w:p w14:paraId="0101712B" w14:textId="6C956657" w:rsidR="00452AFC" w:rsidRPr="00242DFB" w:rsidRDefault="00EC0E2E" w:rsidP="005B2285">
      <w:pPr>
        <w:spacing w:line="360" w:lineRule="auto"/>
        <w:rPr>
          <w:rFonts w:ascii="Arial" w:hAnsi="Arial" w:cs="Arial"/>
          <w:color w:val="000000" w:themeColor="text1"/>
        </w:rPr>
      </w:pPr>
      <w:r>
        <w:rPr>
          <w:noProof/>
        </w:rPr>
        <mc:AlternateContent>
          <mc:Choice Requires="wps">
            <w:drawing>
              <wp:anchor distT="0" distB="0" distL="114300" distR="114300" simplePos="0" relativeHeight="251683328" behindDoc="0" locked="0" layoutInCell="1" allowOverlap="1" wp14:anchorId="6FB59C4E" wp14:editId="5E3E11DB">
                <wp:simplePos x="0" y="0"/>
                <wp:positionH relativeFrom="column">
                  <wp:posOffset>-213360</wp:posOffset>
                </wp:positionH>
                <wp:positionV relativeFrom="paragraph">
                  <wp:posOffset>139700</wp:posOffset>
                </wp:positionV>
                <wp:extent cx="6505575" cy="457200"/>
                <wp:effectExtent l="0" t="0" r="9525" b="0"/>
                <wp:wrapSquare wrapText="bothSides"/>
                <wp:docPr id="32" name="Cuadro de texto 32"/>
                <wp:cNvGraphicFramePr/>
                <a:graphic xmlns:a="http://schemas.openxmlformats.org/drawingml/2006/main">
                  <a:graphicData uri="http://schemas.microsoft.com/office/word/2010/wordprocessingShape">
                    <wps:wsp>
                      <wps:cNvSpPr txBox="1"/>
                      <wps:spPr>
                        <a:xfrm>
                          <a:off x="0" y="0"/>
                          <a:ext cx="6505575" cy="457200"/>
                        </a:xfrm>
                        <a:prstGeom prst="rect">
                          <a:avLst/>
                        </a:prstGeom>
                        <a:solidFill>
                          <a:prstClr val="white"/>
                        </a:solidFill>
                        <a:ln>
                          <a:noFill/>
                        </a:ln>
                      </wps:spPr>
                      <wps:txbx>
                        <w:txbxContent>
                          <w:p w14:paraId="3F09CBFC" w14:textId="661E0063" w:rsidR="00452AFC" w:rsidRPr="00A113E5" w:rsidRDefault="00452AFC" w:rsidP="00452AFC">
                            <w:pPr>
                              <w:pStyle w:val="Descripcin"/>
                              <w:jc w:val="center"/>
                              <w:rPr>
                                <w:rFonts w:ascii="Arial" w:hAnsi="Arial" w:cs="Arial"/>
                                <w:noProof/>
                                <w:color w:val="000000" w:themeColor="text1"/>
                                <w:sz w:val="24"/>
                                <w:szCs w:val="24"/>
                              </w:rPr>
                            </w:pPr>
                            <w:bookmarkStart w:id="118" w:name="_Toc233568863"/>
                            <w:r w:rsidRPr="00A113E5">
                              <w:rPr>
                                <w:rFonts w:ascii="Arial" w:hAnsi="Arial" w:cs="Arial"/>
                                <w:color w:val="000000" w:themeColor="text1"/>
                                <w:sz w:val="24"/>
                                <w:szCs w:val="24"/>
                              </w:rPr>
                              <w:t xml:space="preserve">Gráfica </w:t>
                            </w:r>
                            <w:r w:rsidRPr="00A113E5">
                              <w:rPr>
                                <w:rFonts w:ascii="Arial" w:hAnsi="Arial" w:cs="Arial"/>
                                <w:color w:val="000000" w:themeColor="text1"/>
                                <w:sz w:val="24"/>
                                <w:szCs w:val="24"/>
                              </w:rPr>
                              <w:fldChar w:fldCharType="begin"/>
                            </w:r>
                            <w:r w:rsidRPr="00A113E5">
                              <w:rPr>
                                <w:rFonts w:ascii="Arial" w:hAnsi="Arial" w:cs="Arial"/>
                                <w:color w:val="000000" w:themeColor="text1"/>
                                <w:sz w:val="24"/>
                                <w:szCs w:val="24"/>
                              </w:rPr>
                              <w:instrText xml:space="preserve"> SEQ Gráfica \* ARABIC </w:instrText>
                            </w:r>
                            <w:r w:rsidRPr="00A113E5">
                              <w:rPr>
                                <w:rFonts w:ascii="Arial" w:hAnsi="Arial" w:cs="Arial"/>
                                <w:color w:val="000000" w:themeColor="text1"/>
                                <w:sz w:val="24"/>
                                <w:szCs w:val="24"/>
                              </w:rPr>
                              <w:fldChar w:fldCharType="separate"/>
                            </w:r>
                            <w:r w:rsidR="00AE0C7F">
                              <w:rPr>
                                <w:rFonts w:ascii="Arial" w:hAnsi="Arial" w:cs="Arial"/>
                                <w:noProof/>
                                <w:color w:val="000000" w:themeColor="text1"/>
                                <w:sz w:val="24"/>
                                <w:szCs w:val="24"/>
                              </w:rPr>
                              <w:t>7</w:t>
                            </w:r>
                            <w:r w:rsidRPr="00A113E5">
                              <w:rPr>
                                <w:rFonts w:ascii="Arial" w:hAnsi="Arial" w:cs="Arial"/>
                                <w:color w:val="000000" w:themeColor="text1"/>
                                <w:sz w:val="24"/>
                                <w:szCs w:val="24"/>
                              </w:rPr>
                              <w:fldChar w:fldCharType="end"/>
                            </w:r>
                            <w:r w:rsidRPr="00A113E5">
                              <w:rPr>
                                <w:rFonts w:ascii="Arial" w:hAnsi="Arial" w:cs="Arial"/>
                                <w:color w:val="000000" w:themeColor="text1"/>
                                <w:sz w:val="24"/>
                                <w:szCs w:val="24"/>
                              </w:rPr>
                              <w:t>. Porcentaje de endeudamiento Capital Salud EPS-S, enero-diciembre de 2025</w:t>
                            </w:r>
                            <w:bookmarkEnd w:id="118"/>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6FB59C4E" id="Cuadro de texto 32" o:spid="_x0000_s1031" type="#_x0000_t202" style="position:absolute;margin-left:-16.8pt;margin-top:11pt;width:512.25pt;height:36pt;z-index:251683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8C8HAIAAEIEAAAOAAAAZHJzL2Uyb0RvYy54bWysU01v2zAMvQ/YfxB0X5x0S1sYcYosRYYB&#10;RVsgHXpWZCkWIIsapcTOfv0ofyRbt9Owi0yTFCm+97i4a2vLjgqDAVfw2WTKmXISSuP2Bf/2svlw&#10;y1mIwpXCglMFP6nA75bv3y0an6srqMCWChkVcSFvfMGrGH2eZUFWqhZhAl45CmrAWkT6xX1Womio&#10;em2zq+n0OmsAS48gVQjkve+DfNnV11rJ+KR1UJHZgtPbYndid+7SmS0XIt+j8JWRwzPEP7yiFsZR&#10;03OpexEFO6D5o1RtJEIAHScS6gy0NlJ1M9A0s+mbabaV8KqbhcAJ/gxT+H9l5eNx65+RxfYztERg&#10;AqTxIQ/kTPO0Guv0pZcyihOEpzNsqo1MkvN6Pp3Pb+acSYp9mt8QL6lMdrntMcQvCmqWjIIj0dKh&#10;JY4PIfapY0pqFsCacmOsTT8psLbIjoIobCoT1VD8tyzrUq6DdKsvmDzZZZRkxXbXMlMW/OM45g7K&#10;E02P0AsjeLkx1O9BhPgskJRAA5O64xMd2kJTcBgszirAH3/zp3wiiKKcNaSsgofvB4GKM/vVEXVJ&#10;hqOBo7EbDXeo10CTzmhvvOxMuoDRjqZGqF9J9KvUhULCSepV8Dia69jrm5ZGqtWqSyKxeREf3NbL&#10;VHrE9aV9FegHViLx+Qij5kT+hpw+t0d5dYigTcdcwrVHcYCbhNpxPyxV2oRf/7usy+ovfwIAAP//&#10;AwBQSwMEFAAGAAgAAAAhAHKYWejfAAAACQEAAA8AAABkcnMvZG93bnJldi54bWxMj8FOwzAMhu9I&#10;vENkJC5oS+hQRUvTCTa4wWFj2tlrQlvROFWTrt3bY05ws+VPv7+/WM+uE2c7hNaThvulAmGp8qal&#10;WsPh823xCCJEJIOdJ6vhYgOsy+urAnPjJ9rZ8z7WgkMo5KihibHPpQxVYx2Gpe8t8e3LDw4jr0Mt&#10;zYATh7tOJkql0mFL/KHB3m4aW33vR6ch3Q7jtKPN3fbw+o4ffZ0cXy5HrW9v5ucnENHO8Q+GX31W&#10;h5KdTn4kE0SnYbFapYxqSBLuxECWqQzEiYcHBbIs5P8G5Q8AAAD//wMAUEsBAi0AFAAGAAgAAAAh&#10;ALaDOJL+AAAA4QEAABMAAAAAAAAAAAAAAAAAAAAAAFtDb250ZW50X1R5cGVzXS54bWxQSwECLQAU&#10;AAYACAAAACEAOP0h/9YAAACUAQAACwAAAAAAAAAAAAAAAAAvAQAAX3JlbHMvLnJlbHNQSwECLQAU&#10;AAYACAAAACEAJl/AvBwCAABCBAAADgAAAAAAAAAAAAAAAAAuAgAAZHJzL2Uyb0RvYy54bWxQSwEC&#10;LQAUAAYACAAAACEAcphZ6N8AAAAJAQAADwAAAAAAAAAAAAAAAAB2BAAAZHJzL2Rvd25yZXYueG1s&#10;UEsFBgAAAAAEAAQA8wAAAIIFAAAAAA==&#10;" stroked="f">
                <v:textbox inset="0,0,0,0">
                  <w:txbxContent>
                    <w:p w14:paraId="3F09CBFC" w14:textId="661E0063" w:rsidR="00452AFC" w:rsidRPr="00A113E5" w:rsidRDefault="00452AFC" w:rsidP="00452AFC">
                      <w:pPr>
                        <w:pStyle w:val="Descripcin"/>
                        <w:jc w:val="center"/>
                        <w:rPr>
                          <w:rFonts w:ascii="Arial" w:hAnsi="Arial" w:cs="Arial"/>
                          <w:noProof/>
                          <w:color w:val="000000" w:themeColor="text1"/>
                          <w:sz w:val="24"/>
                          <w:szCs w:val="24"/>
                        </w:rPr>
                      </w:pPr>
                      <w:bookmarkStart w:id="119" w:name="_Toc233568863"/>
                      <w:r w:rsidRPr="00A113E5">
                        <w:rPr>
                          <w:rFonts w:ascii="Arial" w:hAnsi="Arial" w:cs="Arial"/>
                          <w:color w:val="000000" w:themeColor="text1"/>
                          <w:sz w:val="24"/>
                          <w:szCs w:val="24"/>
                        </w:rPr>
                        <w:t xml:space="preserve">Gráfica </w:t>
                      </w:r>
                      <w:r w:rsidRPr="00A113E5">
                        <w:rPr>
                          <w:rFonts w:ascii="Arial" w:hAnsi="Arial" w:cs="Arial"/>
                          <w:color w:val="000000" w:themeColor="text1"/>
                          <w:sz w:val="24"/>
                          <w:szCs w:val="24"/>
                        </w:rPr>
                        <w:fldChar w:fldCharType="begin"/>
                      </w:r>
                      <w:r w:rsidRPr="00A113E5">
                        <w:rPr>
                          <w:rFonts w:ascii="Arial" w:hAnsi="Arial" w:cs="Arial"/>
                          <w:color w:val="000000" w:themeColor="text1"/>
                          <w:sz w:val="24"/>
                          <w:szCs w:val="24"/>
                        </w:rPr>
                        <w:instrText xml:space="preserve"> SEQ Gráfica \* ARABIC </w:instrText>
                      </w:r>
                      <w:r w:rsidRPr="00A113E5">
                        <w:rPr>
                          <w:rFonts w:ascii="Arial" w:hAnsi="Arial" w:cs="Arial"/>
                          <w:color w:val="000000" w:themeColor="text1"/>
                          <w:sz w:val="24"/>
                          <w:szCs w:val="24"/>
                        </w:rPr>
                        <w:fldChar w:fldCharType="separate"/>
                      </w:r>
                      <w:r w:rsidR="00AE0C7F">
                        <w:rPr>
                          <w:rFonts w:ascii="Arial" w:hAnsi="Arial" w:cs="Arial"/>
                          <w:noProof/>
                          <w:color w:val="000000" w:themeColor="text1"/>
                          <w:sz w:val="24"/>
                          <w:szCs w:val="24"/>
                        </w:rPr>
                        <w:t>7</w:t>
                      </w:r>
                      <w:r w:rsidRPr="00A113E5">
                        <w:rPr>
                          <w:rFonts w:ascii="Arial" w:hAnsi="Arial" w:cs="Arial"/>
                          <w:color w:val="000000" w:themeColor="text1"/>
                          <w:sz w:val="24"/>
                          <w:szCs w:val="24"/>
                        </w:rPr>
                        <w:fldChar w:fldCharType="end"/>
                      </w:r>
                      <w:r w:rsidRPr="00A113E5">
                        <w:rPr>
                          <w:rFonts w:ascii="Arial" w:hAnsi="Arial" w:cs="Arial"/>
                          <w:color w:val="000000" w:themeColor="text1"/>
                          <w:sz w:val="24"/>
                          <w:szCs w:val="24"/>
                        </w:rPr>
                        <w:t>. Porcentaje de endeudamiento Capital Salud EPS-S, enero-diciembre de 2025</w:t>
                      </w:r>
                      <w:bookmarkEnd w:id="119"/>
                    </w:p>
                  </w:txbxContent>
                </v:textbox>
                <w10:wrap type="square"/>
              </v:shape>
            </w:pict>
          </mc:Fallback>
        </mc:AlternateContent>
      </w:r>
      <w:r w:rsidR="008B0D9A">
        <w:rPr>
          <w:noProof/>
        </w:rPr>
        <w:drawing>
          <wp:anchor distT="0" distB="0" distL="114300" distR="114300" simplePos="0" relativeHeight="251682304" behindDoc="0" locked="0" layoutInCell="1" allowOverlap="1" wp14:anchorId="4BC622D4" wp14:editId="70535411">
            <wp:simplePos x="0" y="0"/>
            <wp:positionH relativeFrom="column">
              <wp:posOffset>-483235</wp:posOffset>
            </wp:positionH>
            <wp:positionV relativeFrom="paragraph">
              <wp:posOffset>783590</wp:posOffset>
            </wp:positionV>
            <wp:extent cx="6505575" cy="2921000"/>
            <wp:effectExtent l="0" t="0" r="0" b="0"/>
            <wp:wrapSquare wrapText="bothSides"/>
            <wp:docPr id="31" name="Gráfico 3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V relativeFrom="margin">
              <wp14:pctHeight>0</wp14:pctHeight>
            </wp14:sizeRelV>
          </wp:anchor>
        </w:drawing>
      </w:r>
    </w:p>
    <w:p w14:paraId="7783FE19" w14:textId="77777777" w:rsidR="00EC0E2E" w:rsidRDefault="00EC0E2E" w:rsidP="005B2285">
      <w:pPr>
        <w:spacing w:line="360" w:lineRule="auto"/>
        <w:jc w:val="both"/>
        <w:rPr>
          <w:rFonts w:ascii="Arial" w:hAnsi="Arial" w:cs="Arial"/>
          <w:color w:val="000000"/>
          <w:sz w:val="16"/>
          <w:szCs w:val="16"/>
          <w:lang w:eastAsia="es-CO"/>
        </w:rPr>
      </w:pPr>
    </w:p>
    <w:p w14:paraId="2F5F36BE" w14:textId="3A8410C4" w:rsidR="00452AFC" w:rsidRPr="00D37DE7" w:rsidRDefault="00452AFC" w:rsidP="005B2285">
      <w:pPr>
        <w:spacing w:line="360" w:lineRule="auto"/>
        <w:jc w:val="both"/>
        <w:rPr>
          <w:rFonts w:ascii="Arial" w:hAnsi="Arial" w:cs="Arial"/>
          <w:color w:val="000000" w:themeColor="text1"/>
          <w:sz w:val="16"/>
          <w:szCs w:val="16"/>
        </w:rPr>
      </w:pPr>
      <w:r w:rsidRPr="00D37DE7">
        <w:rPr>
          <w:rFonts w:ascii="Arial" w:hAnsi="Arial" w:cs="Arial"/>
          <w:color w:val="000000"/>
          <w:sz w:val="16"/>
          <w:szCs w:val="16"/>
          <w:lang w:eastAsia="es-CO"/>
        </w:rPr>
        <w:t>Fuente: Capital Salud EPS-S. Formato FT001 – Información financiera reportada (corte enero a diciembre de 2025). Elaboración propia (cálculo del indicador Pasivos/Activos y gráfica mensual, enero–diciembre de 2025).</w:t>
      </w:r>
    </w:p>
    <w:p w14:paraId="72C3F2BC" w14:textId="77777777" w:rsidR="00452AFC" w:rsidRPr="00242DFB" w:rsidRDefault="00452AFC" w:rsidP="005B2285">
      <w:pPr>
        <w:spacing w:line="360" w:lineRule="auto"/>
        <w:rPr>
          <w:rFonts w:ascii="Arial" w:eastAsia="Arial" w:hAnsi="Arial" w:cs="Arial"/>
          <w:color w:val="000000" w:themeColor="text1"/>
        </w:rPr>
      </w:pPr>
    </w:p>
    <w:p w14:paraId="62440839" w14:textId="77777777" w:rsidR="00452AFC" w:rsidRPr="00242DFB" w:rsidRDefault="00452AFC"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El indicador de endeudamiento (Pasivos/Activos) de Capital Salud EPS-S evidencia un nivel alto de apalancamiento, al ubicarse en 96,22% al cierre de diciembre de </w:t>
      </w:r>
      <w:r w:rsidRPr="00242DFB">
        <w:rPr>
          <w:rFonts w:ascii="Arial" w:eastAsia="Arial" w:hAnsi="Arial" w:cs="Arial"/>
          <w:color w:val="000000"/>
        </w:rPr>
        <w:lastRenderedPageBreak/>
        <w:t>2025. En términos financieros, esto significa que los pasivos representan casi la totalidad de los activos disponibles, dejando un margen patrimonial estrecho para respaldar obligaciones y absorber contingencias. Este comportamiento es consistente con lo observado previamente en el informe: crecimiento acelerado del pasivo, presión sobre las cuentas por pagar, reducción del patrimonio y limitaciones de liquidez.</w:t>
      </w:r>
    </w:p>
    <w:p w14:paraId="66FC66EB" w14:textId="77777777" w:rsidR="00452AFC" w:rsidRPr="00242DFB" w:rsidRDefault="00452AFC"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7C053B01" w14:textId="0F12F495" w:rsidR="00452AFC" w:rsidRPr="00242DFB" w:rsidRDefault="00452AFC" w:rsidP="005B2285">
      <w:pPr>
        <w:spacing w:line="360" w:lineRule="auto"/>
        <w:jc w:val="both"/>
        <w:rPr>
          <w:rFonts w:ascii="Arial" w:eastAsia="Arial" w:hAnsi="Arial" w:cs="Arial"/>
          <w:color w:val="000000" w:themeColor="text1"/>
        </w:rPr>
      </w:pPr>
      <w:r w:rsidRPr="00242DFB">
        <w:rPr>
          <w:rFonts w:ascii="Arial" w:eastAsia="Arial" w:hAnsi="Arial" w:cs="Arial"/>
          <w:color w:val="000000"/>
        </w:rPr>
        <w:t>Desde la perspectiva operativa, un endeudamiento de este nivel se asocia con mayor probabilidad de restricciones de flujo de caja y, por ende, con efectos directos sobre la prestación: retrasos en el pago a prestadores y proveedores, incremento de la cartera y tensiones en la red que pueden traducirse en barreras de acceso, afectación de la oportunidad y riesgo sobre la continuidad de la atención para los usuarios. Por lo anterior, el indicador no solo describe una condición contable, sino un factor de riesgo para la gestión del aseguramiento, que amerita medidas de recuperación (saneamiento de obligaciones, fortalecimiento patrimonial, acuerdos de pago y control de determinantes de gasto)</w:t>
      </w:r>
      <w:r w:rsidR="006E771E">
        <w:rPr>
          <w:rFonts w:ascii="Arial" w:eastAsia="Arial" w:hAnsi="Arial" w:cs="Arial"/>
          <w:color w:val="000000"/>
        </w:rPr>
        <w:t>.</w:t>
      </w:r>
    </w:p>
    <w:p w14:paraId="155B1E37" w14:textId="77777777" w:rsidR="00452AFC" w:rsidRDefault="00452AFC" w:rsidP="005B2285">
      <w:pPr>
        <w:spacing w:line="360" w:lineRule="auto"/>
        <w:jc w:val="both"/>
        <w:rPr>
          <w:rFonts w:ascii="Arial" w:hAnsi="Arial" w:cs="Arial"/>
        </w:rPr>
      </w:pPr>
    </w:p>
    <w:p w14:paraId="5798304C" w14:textId="71F9E6E7" w:rsidR="009F762E" w:rsidRPr="008F6E67" w:rsidRDefault="00947D99" w:rsidP="005B2285">
      <w:pPr>
        <w:pStyle w:val="Ttulo2"/>
        <w:numPr>
          <w:ilvl w:val="1"/>
          <w:numId w:val="7"/>
        </w:numPr>
        <w:spacing w:before="0" w:line="360" w:lineRule="auto"/>
        <w:rPr>
          <w:rFonts w:ascii="Arial" w:hAnsi="Arial" w:cs="Arial"/>
          <w:b/>
          <w:bCs/>
          <w:color w:val="000000" w:themeColor="text1"/>
          <w:sz w:val="24"/>
          <w:szCs w:val="24"/>
        </w:rPr>
      </w:pPr>
      <w:bookmarkStart w:id="120" w:name="_Toc233574857"/>
      <w:r>
        <w:rPr>
          <w:rFonts w:ascii="Arial" w:hAnsi="Arial" w:cs="Arial"/>
          <w:b/>
          <w:bCs/>
          <w:color w:val="000000" w:themeColor="text1"/>
          <w:sz w:val="24"/>
          <w:szCs w:val="24"/>
        </w:rPr>
        <w:t>S</w:t>
      </w:r>
      <w:r w:rsidR="00000000" w:rsidRPr="008F6E67">
        <w:rPr>
          <w:rFonts w:ascii="Arial" w:hAnsi="Arial" w:cs="Arial"/>
          <w:b/>
          <w:bCs/>
          <w:color w:val="000000" w:themeColor="text1"/>
          <w:sz w:val="24"/>
          <w:szCs w:val="24"/>
        </w:rPr>
        <w:t>iniestralidad</w:t>
      </w:r>
      <w:bookmarkEnd w:id="120"/>
    </w:p>
    <w:p w14:paraId="0481B1E0" w14:textId="77777777" w:rsidR="009F762E" w:rsidRPr="00242DFB" w:rsidRDefault="009F762E" w:rsidP="005B2285">
      <w:pPr>
        <w:spacing w:line="360" w:lineRule="auto"/>
        <w:rPr>
          <w:rFonts w:ascii="Arial" w:hAnsi="Arial" w:cs="Arial"/>
          <w:color w:val="000000" w:themeColor="text1"/>
        </w:rPr>
      </w:pPr>
    </w:p>
    <w:p w14:paraId="7E917ED1" w14:textId="326C80AB" w:rsidR="009F762E" w:rsidRDefault="00000000" w:rsidP="005B2285">
      <w:pPr>
        <w:spacing w:line="360" w:lineRule="auto"/>
        <w:jc w:val="both"/>
        <w:rPr>
          <w:rFonts w:ascii="Arial" w:eastAsia="Arial" w:hAnsi="Arial" w:cs="Arial"/>
          <w:color w:val="000000"/>
        </w:rPr>
      </w:pPr>
      <w:r w:rsidRPr="00242DFB">
        <w:rPr>
          <w:rFonts w:ascii="Arial" w:eastAsia="Arial" w:hAnsi="Arial" w:cs="Arial"/>
          <w:color w:val="000000"/>
        </w:rPr>
        <w:t xml:space="preserve">En esta sección se analiza el indicador de siniestralidad como una medida clave del equilibrio técnico-financiero de la EPS, al relacionar el costo de los servicios y tecnologías en salud financiados con los ingresos reconocidos por Unidad de Pago por Capitación (UPC). Su seguimiento permite identificar presiones sobre la sostenibilidad, la constitución de reservas y el flujo de recursos hacia la red prestadora. De acuerdo con la Gráfica </w:t>
      </w:r>
      <w:r w:rsidR="00A30820">
        <w:rPr>
          <w:rFonts w:ascii="Arial" w:eastAsia="Arial" w:hAnsi="Arial" w:cs="Arial"/>
          <w:color w:val="000000"/>
        </w:rPr>
        <w:t>8</w:t>
      </w:r>
      <w:r w:rsidRPr="00242DFB">
        <w:rPr>
          <w:rFonts w:ascii="Arial" w:eastAsia="Arial" w:hAnsi="Arial" w:cs="Arial"/>
          <w:color w:val="000000"/>
        </w:rPr>
        <w:t>, la siniestralidad de Capital Salud EPS-S presenta valores persistentemente superiores al 100% durante 2025 y cierra diciembre en 103,42%, lo que refleja que el gasto en salud supera los ingresos por UPC y configura un desequilibrio con implicaciones directas en liquidez, pago oportuno y continuidad de la atención.</w:t>
      </w:r>
    </w:p>
    <w:p w14:paraId="7AC106FE" w14:textId="77777777" w:rsidR="008B7E8D" w:rsidRDefault="008B7E8D" w:rsidP="005B2285">
      <w:pPr>
        <w:spacing w:line="360" w:lineRule="auto"/>
        <w:rPr>
          <w:rFonts w:ascii="Arial" w:eastAsia="Arial" w:hAnsi="Arial" w:cs="Arial"/>
          <w:color w:val="000000"/>
          <w:sz w:val="16"/>
          <w:szCs w:val="16"/>
        </w:rPr>
      </w:pPr>
    </w:p>
    <w:p w14:paraId="0B8567F4" w14:textId="33CA80EE" w:rsidR="009F762E" w:rsidRPr="00AC3703" w:rsidRDefault="0092688D" w:rsidP="005B2285">
      <w:pPr>
        <w:spacing w:line="360" w:lineRule="auto"/>
        <w:rPr>
          <w:rFonts w:ascii="Arial" w:hAnsi="Arial" w:cs="Arial"/>
        </w:rPr>
      </w:pPr>
      <w:r>
        <w:rPr>
          <w:noProof/>
        </w:rPr>
        <w:lastRenderedPageBreak/>
        <w:drawing>
          <wp:anchor distT="0" distB="0" distL="114300" distR="114300" simplePos="0" relativeHeight="251672064" behindDoc="0" locked="0" layoutInCell="1" allowOverlap="1" wp14:anchorId="1F25AFE6" wp14:editId="7D8D5C41">
            <wp:simplePos x="0" y="0"/>
            <wp:positionH relativeFrom="column">
              <wp:posOffset>-203835</wp:posOffset>
            </wp:positionH>
            <wp:positionV relativeFrom="paragraph">
              <wp:posOffset>4445</wp:posOffset>
            </wp:positionV>
            <wp:extent cx="6153150" cy="3724275"/>
            <wp:effectExtent l="0" t="0" r="0" b="0"/>
            <wp:wrapSquare wrapText="bothSides"/>
            <wp:docPr id="28" name="Gráfico 28">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V relativeFrom="margin">
              <wp14:pctHeight>0</wp14:pctHeight>
            </wp14:sizeRelV>
          </wp:anchor>
        </w:drawing>
      </w:r>
      <w:r>
        <w:rPr>
          <w:noProof/>
        </w:rPr>
        <mc:AlternateContent>
          <mc:Choice Requires="wps">
            <w:drawing>
              <wp:anchor distT="0" distB="0" distL="114300" distR="114300" simplePos="0" relativeHeight="251674112" behindDoc="0" locked="0" layoutInCell="1" allowOverlap="1" wp14:anchorId="3F6FF4A5" wp14:editId="1D1AEFAC">
                <wp:simplePos x="0" y="0"/>
                <wp:positionH relativeFrom="column">
                  <wp:posOffset>-203835</wp:posOffset>
                </wp:positionH>
                <wp:positionV relativeFrom="paragraph">
                  <wp:posOffset>0</wp:posOffset>
                </wp:positionV>
                <wp:extent cx="6153150" cy="457200"/>
                <wp:effectExtent l="0" t="0" r="0" b="0"/>
                <wp:wrapSquare wrapText="bothSides"/>
                <wp:docPr id="29" name="Cuadro de texto 29"/>
                <wp:cNvGraphicFramePr/>
                <a:graphic xmlns:a="http://schemas.openxmlformats.org/drawingml/2006/main">
                  <a:graphicData uri="http://schemas.microsoft.com/office/word/2010/wordprocessingShape">
                    <wps:wsp>
                      <wps:cNvSpPr txBox="1"/>
                      <wps:spPr>
                        <a:xfrm>
                          <a:off x="0" y="0"/>
                          <a:ext cx="6153150" cy="457200"/>
                        </a:xfrm>
                        <a:prstGeom prst="rect">
                          <a:avLst/>
                        </a:prstGeom>
                        <a:solidFill>
                          <a:prstClr val="white"/>
                        </a:solidFill>
                        <a:ln>
                          <a:noFill/>
                        </a:ln>
                      </wps:spPr>
                      <wps:txbx>
                        <w:txbxContent>
                          <w:p w14:paraId="35A557A5" w14:textId="47C38FC7" w:rsidR="0092688D" w:rsidRPr="0092688D" w:rsidRDefault="0092688D" w:rsidP="0092688D">
                            <w:pPr>
                              <w:pStyle w:val="Descripcin"/>
                              <w:jc w:val="center"/>
                              <w:rPr>
                                <w:rFonts w:ascii="Arial" w:hAnsi="Arial" w:cs="Arial"/>
                                <w:noProof/>
                                <w:color w:val="000000" w:themeColor="text1"/>
                                <w:sz w:val="24"/>
                                <w:szCs w:val="24"/>
                              </w:rPr>
                            </w:pPr>
                            <w:bookmarkStart w:id="121" w:name="_Toc233568864"/>
                            <w:r w:rsidRPr="0092688D">
                              <w:rPr>
                                <w:rFonts w:ascii="Arial" w:hAnsi="Arial" w:cs="Arial"/>
                                <w:color w:val="000000" w:themeColor="text1"/>
                                <w:sz w:val="24"/>
                                <w:szCs w:val="24"/>
                              </w:rPr>
                              <w:t xml:space="preserve">Gráfica </w:t>
                            </w:r>
                            <w:r w:rsidRPr="0092688D">
                              <w:rPr>
                                <w:rFonts w:ascii="Arial" w:hAnsi="Arial" w:cs="Arial"/>
                                <w:color w:val="000000" w:themeColor="text1"/>
                                <w:sz w:val="24"/>
                                <w:szCs w:val="24"/>
                              </w:rPr>
                              <w:fldChar w:fldCharType="begin"/>
                            </w:r>
                            <w:r w:rsidRPr="0092688D">
                              <w:rPr>
                                <w:rFonts w:ascii="Arial" w:hAnsi="Arial" w:cs="Arial"/>
                                <w:color w:val="000000" w:themeColor="text1"/>
                                <w:sz w:val="24"/>
                                <w:szCs w:val="24"/>
                              </w:rPr>
                              <w:instrText xml:space="preserve"> SEQ Gráfica \* ARABIC </w:instrText>
                            </w:r>
                            <w:r w:rsidRPr="0092688D">
                              <w:rPr>
                                <w:rFonts w:ascii="Arial" w:hAnsi="Arial" w:cs="Arial"/>
                                <w:color w:val="000000" w:themeColor="text1"/>
                                <w:sz w:val="24"/>
                                <w:szCs w:val="24"/>
                              </w:rPr>
                              <w:fldChar w:fldCharType="separate"/>
                            </w:r>
                            <w:r w:rsidR="00AE0C7F">
                              <w:rPr>
                                <w:rFonts w:ascii="Arial" w:hAnsi="Arial" w:cs="Arial"/>
                                <w:noProof/>
                                <w:color w:val="000000" w:themeColor="text1"/>
                                <w:sz w:val="24"/>
                                <w:szCs w:val="24"/>
                              </w:rPr>
                              <w:t>8</w:t>
                            </w:r>
                            <w:r w:rsidRPr="0092688D">
                              <w:rPr>
                                <w:rFonts w:ascii="Arial" w:hAnsi="Arial" w:cs="Arial"/>
                                <w:color w:val="000000" w:themeColor="text1"/>
                                <w:sz w:val="24"/>
                                <w:szCs w:val="24"/>
                              </w:rPr>
                              <w:fldChar w:fldCharType="end"/>
                            </w:r>
                            <w:r w:rsidRPr="0092688D">
                              <w:rPr>
                                <w:rFonts w:ascii="Arial" w:hAnsi="Arial" w:cs="Arial"/>
                                <w:color w:val="000000" w:themeColor="text1"/>
                                <w:sz w:val="24"/>
                                <w:szCs w:val="24"/>
                              </w:rPr>
                              <w:t>. Siniestralidad Capital Salud EPS-S, enero-diciembre de 2025</w:t>
                            </w:r>
                            <w:bookmarkEnd w:id="121"/>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F6FF4A5" id="Cuadro de texto 29" o:spid="_x0000_s1032" type="#_x0000_t202" style="position:absolute;margin-left:-16.05pt;margin-top:0;width:484.5pt;height:36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Du4GgIAAEIEAAAOAAAAZHJzL2Uyb0RvYy54bWysU02P0zAQvSPxHyzfadqFLihquipdFSFV&#10;uyt10Z5dx24sOR4zdpuUX884Hy0snBAXZ+IZz8d7bxZ3bW3ZSWEw4Ao+m0w5U05Cadyh4N+eN+8+&#10;cRaicKWw4FTBzyrwu+XbN4vG5+oGKrClQkZJXMgbX/AqRp9nWZCVqkWYgFeOnBqwFpF+8ZCVKBrK&#10;XtvsZjq9zRrA0iNIFQLd3vdOvuzya61kfNQ6qMhswam32J3Ynft0ZsuFyA8ofGXk0Ib4hy5qYRwV&#10;vaS6F1GwI5o/UtVGIgTQcSKhzkBrI1U3A00zm76aZlcJr7pZCJzgLzCF/5dWPpx2/glZbD9DSwQm&#10;QBof8kCXaZ5WY52+1CkjP0F4vsCm2sgkXd7O5u9nc3JJ8n2YfyReUprs+tpjiF8U1CwZBUeipUNL&#10;nLYh9qFjSCoWwJpyY6xNP8mxtshOgihsKhPVkPy3KOtSrIP0qk+YbrLrKMmK7b5lpqQmxzH3UJ5p&#10;eoReGMHLjaF6WxHik0BSAk1F6o6PdGgLTcFhsDirAH/87T7FE0Hk5awhZRU8fD8KVJzZr46oSzIc&#10;DRyN/Wi4Y70GmnRGe+NlZ9IDjHY0NUL9QqJfpSrkEk5SrYLH0VzHXt+0NFKtVl0Qic2LuHU7L1Pq&#10;Edfn9kWgH1iJxOcDjJoT+Sty+tge5dUxgjYdcwnXHsUBbhJqx/2wVGkTfv3voq6rv/wJAAD//wMA&#10;UEsDBBQABgAIAAAAIQBsYLrM3QAAAAcBAAAPAAAAZHJzL2Rvd25yZXYueG1sTI/BTsMwEETvSPyD&#10;tUhcUOs0lQINcSpo4UYPLVXPbrwkEfE6sp0m/XuWExxHM5p5U6wn24kL+tA6UrCYJyCQKmdaqhUc&#10;P99nTyBC1GR05wgVXDHAury9KXRu3Eh7vBxiLbiEQq4VNDH2uZShatDqMHc9EntfzlsdWfpaGq9H&#10;LredTJMkk1a3xAuN7nHTYPV9GKyCbOuHcU+bh+3x7UPv+jo9vV5PSt3fTS/PICJO8S8Mv/iMDiUz&#10;nd1AJohOwWyZLjiqgB+xvVpmKxBnBY9pArIs5H/+8gcAAP//AwBQSwECLQAUAAYACAAAACEAtoM4&#10;kv4AAADhAQAAEwAAAAAAAAAAAAAAAAAAAAAAW0NvbnRlbnRfVHlwZXNdLnhtbFBLAQItABQABgAI&#10;AAAAIQA4/SH/1gAAAJQBAAALAAAAAAAAAAAAAAAAAC8BAABfcmVscy8ucmVsc1BLAQItABQABgAI&#10;AAAAIQCQDDu4GgIAAEIEAAAOAAAAAAAAAAAAAAAAAC4CAABkcnMvZTJvRG9jLnhtbFBLAQItABQA&#10;BgAIAAAAIQBsYLrM3QAAAAcBAAAPAAAAAAAAAAAAAAAAAHQEAABkcnMvZG93bnJldi54bWxQSwUG&#10;AAAAAAQABADzAAAAfgUAAAAA&#10;" stroked="f">
                <v:textbox inset="0,0,0,0">
                  <w:txbxContent>
                    <w:p w14:paraId="35A557A5" w14:textId="47C38FC7" w:rsidR="0092688D" w:rsidRPr="0092688D" w:rsidRDefault="0092688D" w:rsidP="0092688D">
                      <w:pPr>
                        <w:pStyle w:val="Descripcin"/>
                        <w:jc w:val="center"/>
                        <w:rPr>
                          <w:rFonts w:ascii="Arial" w:hAnsi="Arial" w:cs="Arial"/>
                          <w:noProof/>
                          <w:color w:val="000000" w:themeColor="text1"/>
                          <w:sz w:val="24"/>
                          <w:szCs w:val="24"/>
                        </w:rPr>
                      </w:pPr>
                      <w:bookmarkStart w:id="122" w:name="_Toc233568864"/>
                      <w:r w:rsidRPr="0092688D">
                        <w:rPr>
                          <w:rFonts w:ascii="Arial" w:hAnsi="Arial" w:cs="Arial"/>
                          <w:color w:val="000000" w:themeColor="text1"/>
                          <w:sz w:val="24"/>
                          <w:szCs w:val="24"/>
                        </w:rPr>
                        <w:t xml:space="preserve">Gráfica </w:t>
                      </w:r>
                      <w:r w:rsidRPr="0092688D">
                        <w:rPr>
                          <w:rFonts w:ascii="Arial" w:hAnsi="Arial" w:cs="Arial"/>
                          <w:color w:val="000000" w:themeColor="text1"/>
                          <w:sz w:val="24"/>
                          <w:szCs w:val="24"/>
                        </w:rPr>
                        <w:fldChar w:fldCharType="begin"/>
                      </w:r>
                      <w:r w:rsidRPr="0092688D">
                        <w:rPr>
                          <w:rFonts w:ascii="Arial" w:hAnsi="Arial" w:cs="Arial"/>
                          <w:color w:val="000000" w:themeColor="text1"/>
                          <w:sz w:val="24"/>
                          <w:szCs w:val="24"/>
                        </w:rPr>
                        <w:instrText xml:space="preserve"> SEQ Gráfica \* ARABIC </w:instrText>
                      </w:r>
                      <w:r w:rsidRPr="0092688D">
                        <w:rPr>
                          <w:rFonts w:ascii="Arial" w:hAnsi="Arial" w:cs="Arial"/>
                          <w:color w:val="000000" w:themeColor="text1"/>
                          <w:sz w:val="24"/>
                          <w:szCs w:val="24"/>
                        </w:rPr>
                        <w:fldChar w:fldCharType="separate"/>
                      </w:r>
                      <w:r w:rsidR="00AE0C7F">
                        <w:rPr>
                          <w:rFonts w:ascii="Arial" w:hAnsi="Arial" w:cs="Arial"/>
                          <w:noProof/>
                          <w:color w:val="000000" w:themeColor="text1"/>
                          <w:sz w:val="24"/>
                          <w:szCs w:val="24"/>
                        </w:rPr>
                        <w:t>8</w:t>
                      </w:r>
                      <w:r w:rsidRPr="0092688D">
                        <w:rPr>
                          <w:rFonts w:ascii="Arial" w:hAnsi="Arial" w:cs="Arial"/>
                          <w:color w:val="000000" w:themeColor="text1"/>
                          <w:sz w:val="24"/>
                          <w:szCs w:val="24"/>
                        </w:rPr>
                        <w:fldChar w:fldCharType="end"/>
                      </w:r>
                      <w:r w:rsidRPr="0092688D">
                        <w:rPr>
                          <w:rFonts w:ascii="Arial" w:hAnsi="Arial" w:cs="Arial"/>
                          <w:color w:val="000000" w:themeColor="text1"/>
                          <w:sz w:val="24"/>
                          <w:szCs w:val="24"/>
                        </w:rPr>
                        <w:t>. Siniestralidad Capital Salud EPS-S, enero-diciembre de 2025</w:t>
                      </w:r>
                      <w:bookmarkEnd w:id="122"/>
                    </w:p>
                  </w:txbxContent>
                </v:textbox>
                <w10:wrap type="square"/>
              </v:shape>
            </w:pict>
          </mc:Fallback>
        </mc:AlternateContent>
      </w:r>
      <w:r w:rsidR="00000000" w:rsidRPr="00AC3703">
        <w:rPr>
          <w:rFonts w:ascii="Arial" w:eastAsia="Arial" w:hAnsi="Arial" w:cs="Arial"/>
          <w:color w:val="000000"/>
          <w:sz w:val="16"/>
          <w:szCs w:val="16"/>
        </w:rPr>
        <w:t>Fuente: Capital Salud EPS-S. Formato FT001 – Información financiera reportada (corte enero a diciembre de 2025). Elaboración propia (cálculo y gráfica de siniestralidad mensual, enero–diciembre 2025).</w:t>
      </w:r>
    </w:p>
    <w:p w14:paraId="17F1B197" w14:textId="77777777" w:rsidR="009F762E" w:rsidRPr="00242DFB" w:rsidRDefault="00000000" w:rsidP="005B2285">
      <w:pPr>
        <w:spacing w:line="360" w:lineRule="auto"/>
        <w:jc w:val="both"/>
        <w:rPr>
          <w:rFonts w:ascii="Arial" w:hAnsi="Arial" w:cs="Arial"/>
          <w:color w:val="000000" w:themeColor="text1"/>
        </w:rPr>
      </w:pPr>
      <w:r w:rsidRPr="00242DFB">
        <w:rPr>
          <w:rFonts w:ascii="Arial" w:eastAsia="Arial" w:hAnsi="Arial" w:cs="Arial"/>
          <w:color w:val="000000"/>
        </w:rPr>
        <w:t xml:space="preserve"> </w:t>
      </w:r>
    </w:p>
    <w:p w14:paraId="2E36BF4E"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La siniestralidad registrada por Capital Salud EPS-S a diciembre de 2025 se ubica en 103,42%, es decir, aproximadamente 3,42 puntos porcentuales por encima del 100%. Esto significa que, por cada $100 reconocidos por UPC, la entidad estaría destinando alrededor de $103,42 al reconocimiento y financiamiento de prestaciones en salud, configurando un déficit técnico que tiende a acumularse si no se implementan medidas de gestión del gasto, depuración de costos y fortalecimiento de ingresos.</w:t>
      </w:r>
    </w:p>
    <w:p w14:paraId="0555D7D3" w14:textId="77777777" w:rsidR="009F762E" w:rsidRPr="00242DFB" w:rsidRDefault="00000000" w:rsidP="005B2285">
      <w:pPr>
        <w:spacing w:line="360" w:lineRule="auto"/>
        <w:jc w:val="both"/>
        <w:rPr>
          <w:rFonts w:ascii="Arial" w:eastAsia="Arial" w:hAnsi="Arial" w:cs="Arial"/>
          <w:color w:val="000000" w:themeColor="text1"/>
        </w:rPr>
      </w:pPr>
      <w:r w:rsidRPr="00242DFB">
        <w:rPr>
          <w:rFonts w:ascii="Arial" w:eastAsia="Arial" w:hAnsi="Arial" w:cs="Arial"/>
          <w:color w:val="000000"/>
        </w:rPr>
        <w:t xml:space="preserve"> </w:t>
      </w:r>
    </w:p>
    <w:p w14:paraId="355088F4" w14:textId="541366CC" w:rsidR="009F762E" w:rsidRPr="00242DFB" w:rsidRDefault="00000000" w:rsidP="005B2285">
      <w:pPr>
        <w:spacing w:line="360" w:lineRule="auto"/>
        <w:jc w:val="both"/>
        <w:rPr>
          <w:rFonts w:ascii="Arial" w:eastAsia="Arial" w:hAnsi="Arial" w:cs="Arial"/>
          <w:color w:val="000000" w:themeColor="text1"/>
        </w:rPr>
      </w:pPr>
      <w:r w:rsidRPr="00242DFB">
        <w:rPr>
          <w:rFonts w:ascii="Arial" w:hAnsi="Arial" w:cs="Arial"/>
          <w:color w:val="000000"/>
        </w:rPr>
        <w:t xml:space="preserve">En términos de impacto, una siniestralidad persistentemente superior al 100% compromete la sostenibilidad operativa de la entidad y reduce su margen para constituir y fortalecer reservas técnicas, en la medida en que presiona el flujo de caja y profundiza la brecha entre obligaciones y recursos disponibles. Esto se alinea con los hallazgos de deterioro financiero descritos previamente (incremento de pasivos, deterioro patrimonial y aumento de cuentas por pagar), ya que un gasto asistencial por encima de la UPC suele traducirse en mayor acumulación de </w:t>
      </w:r>
      <w:r w:rsidRPr="00242DFB">
        <w:rPr>
          <w:rFonts w:ascii="Arial" w:hAnsi="Arial" w:cs="Arial"/>
          <w:color w:val="000000"/>
        </w:rPr>
        <w:lastRenderedPageBreak/>
        <w:t xml:space="preserve">obligaciones con prestadores y proveedores, incremento del riesgo de cartera vencida y tensiones en la red que afectan la oportunidad, continuidad y calidad de la atención. En consecuencia, el comportamiento observado no solo constituye un riesgo financiero, sino también un riesgo operativo y de acceso, al elevar la probabilidad de retrasos en autorizaciones, programación de servicios y dispensación de tecnologías. </w:t>
      </w:r>
    </w:p>
    <w:p w14:paraId="33292409" w14:textId="77777777" w:rsidR="009F762E" w:rsidRPr="00242DFB" w:rsidRDefault="009F762E" w:rsidP="005B2285">
      <w:pPr>
        <w:spacing w:line="360" w:lineRule="auto"/>
        <w:jc w:val="both"/>
        <w:rPr>
          <w:rFonts w:ascii="Arial" w:eastAsia="Arial" w:hAnsi="Arial" w:cs="Arial"/>
          <w:color w:val="000000" w:themeColor="text1"/>
        </w:rPr>
      </w:pPr>
    </w:p>
    <w:p w14:paraId="5585D9C0" w14:textId="373A6A44" w:rsidR="00B20391" w:rsidRPr="00242DFB" w:rsidRDefault="00B20391" w:rsidP="005B2285">
      <w:pPr>
        <w:pStyle w:val="Ttulo1"/>
        <w:numPr>
          <w:ilvl w:val="0"/>
          <w:numId w:val="7"/>
        </w:numPr>
        <w:spacing w:before="0" w:line="360" w:lineRule="auto"/>
        <w:rPr>
          <w:rStyle w:val="eop"/>
          <w:rFonts w:ascii="Arial" w:hAnsi="Arial" w:cs="Arial"/>
          <w:b/>
          <w:bCs/>
          <w:color w:val="000000" w:themeColor="text1"/>
          <w:sz w:val="24"/>
          <w:szCs w:val="24"/>
        </w:rPr>
      </w:pPr>
      <w:bookmarkStart w:id="123" w:name="_Toc233574858"/>
      <w:r>
        <w:rPr>
          <w:rStyle w:val="eop"/>
          <w:rFonts w:ascii="Arial" w:hAnsi="Arial" w:cs="Arial"/>
          <w:b/>
          <w:bCs/>
          <w:color w:val="000000" w:themeColor="text1"/>
          <w:sz w:val="24"/>
          <w:szCs w:val="24"/>
        </w:rPr>
        <w:t>CONCLUSIONES</w:t>
      </w:r>
      <w:bookmarkEnd w:id="123"/>
    </w:p>
    <w:p w14:paraId="54D0DEE7" w14:textId="77777777" w:rsidR="00B20391" w:rsidRDefault="00B20391" w:rsidP="005B2285">
      <w:pPr>
        <w:spacing w:line="360" w:lineRule="auto"/>
        <w:jc w:val="both"/>
        <w:rPr>
          <w:rFonts w:ascii="Arial" w:hAnsi="Arial" w:cs="Arial"/>
          <w:color w:val="000000"/>
        </w:rPr>
      </w:pPr>
    </w:p>
    <w:p w14:paraId="5C175C4D" w14:textId="77777777" w:rsid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Capital Salud EPS-S constituye un actor estratégico para el aseguramiento en Bogotá, por su volumen de afiliados y por la alta concentración de población subsidiada.</w:t>
      </w:r>
      <w:r w:rsidRPr="00B20391">
        <w:rPr>
          <w:rFonts w:ascii="Arial" w:eastAsia="Arial" w:hAnsi="Arial" w:cs="Arial"/>
          <w:color w:val="000000" w:themeColor="text1"/>
        </w:rPr>
        <w:t xml:space="preserve"> Al cierre de 2025, Capital Salud EPS-S registró 900.152 afiliados en Bogotá D. C., equivalentes al 11,37% del total de afiliados de la ciudad, ubicándose como la quinta EPS por volumen poblacional. De este total, 838.191 usuarios correspondieron al régimen subsidiado, equivalentes al 93,12%, y 61.961 al régimen contributivo, equivalentes al 6,88%. Esta composición evidencia que el desempeño de la EPS tiene impacto directo sobre población con mayores condiciones de vulnerabilidad social, económica y sanitaria, por lo que sus resultados en acceso, oportunidad, medicamentos, rutas de atención, gestión del riesgo y sostenibilidad financiera inciden de manera relevante en la garantía del derecho fundamental a la salud en el Distrito Capital.</w:t>
      </w:r>
    </w:p>
    <w:p w14:paraId="41BAB918" w14:textId="77777777" w:rsidR="00B20391" w:rsidRPr="00B20391" w:rsidRDefault="00B20391" w:rsidP="005B2285">
      <w:pPr>
        <w:spacing w:line="360" w:lineRule="auto"/>
        <w:ind w:left="360"/>
        <w:jc w:val="both"/>
        <w:rPr>
          <w:rFonts w:ascii="Arial" w:eastAsia="Arial" w:hAnsi="Arial" w:cs="Arial"/>
          <w:color w:val="000000" w:themeColor="text1"/>
        </w:rPr>
      </w:pPr>
    </w:p>
    <w:p w14:paraId="073CD4E9" w14:textId="77777777" w:rsid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La operación de Capital Salud EPS-S en Bogotá genera presión asistencial no solo por su población residente en el Distrito, sino también por la demanda proveniente de territorios circunvecinos.</w:t>
      </w:r>
      <w:r w:rsidRPr="00B20391">
        <w:rPr>
          <w:rFonts w:ascii="Arial" w:eastAsia="Arial" w:hAnsi="Arial" w:cs="Arial"/>
          <w:color w:val="000000" w:themeColor="text1"/>
        </w:rPr>
        <w:t xml:space="preserve"> La EPS registra afiliados en Soacha y otros territorios que pueden demandar servicios de mediana y alta complejidad en la red de Bogotá. En el caso de Soacha, para 2025 se identificaron 10.959 afiliados, con predominio del régimen subsidiado. Esta situación exige que el análisis de suficiencia de red, referencia, contrarreferencia, oportunidad de citas, autorizaciones y continuidad terapéutica </w:t>
      </w:r>
      <w:r w:rsidRPr="00B20391">
        <w:rPr>
          <w:rFonts w:ascii="Arial" w:eastAsia="Arial" w:hAnsi="Arial" w:cs="Arial"/>
          <w:color w:val="000000" w:themeColor="text1"/>
        </w:rPr>
        <w:lastRenderedPageBreak/>
        <w:t>no se limite únicamente a la población residente en Bogotá, sino que considere la presión funcional que ejerce la población afiliada en municipios cercanos sobre la red distrital.</w:t>
      </w:r>
    </w:p>
    <w:p w14:paraId="33CB2828" w14:textId="77777777" w:rsidR="00B20391" w:rsidRDefault="00B20391" w:rsidP="005B2285">
      <w:pPr>
        <w:pStyle w:val="Prrafodelista"/>
        <w:rPr>
          <w:rFonts w:ascii="Arial" w:eastAsia="Arial" w:hAnsi="Arial" w:cs="Arial"/>
          <w:color w:val="000000" w:themeColor="text1"/>
        </w:rPr>
      </w:pPr>
    </w:p>
    <w:p w14:paraId="43C0A771" w14:textId="77777777" w:rsid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El comportamiento de las reclamaciones evidencia un deterioro en la experiencia del usuario y una presión creciente sobre la capacidad de respuesta institucional.</w:t>
      </w:r>
      <w:r w:rsidRPr="00B20391">
        <w:rPr>
          <w:rFonts w:ascii="Arial" w:eastAsia="Arial" w:hAnsi="Arial" w:cs="Arial"/>
          <w:color w:val="000000" w:themeColor="text1"/>
        </w:rPr>
        <w:t xml:space="preserve"> Durante 2025, Capital Salud EPS-S registró 80.568 PQRS, con una tasa de 913 por cada 10.000 afiliados. Adicionalmente, la tasa de reclamos acumulados en 12 meses presentó un incremento aproximado del 118,4% entre 2020 y 2025, lo que indica que la frecuencia de reclamaciones en salud se duplicó frente al inicio del periodo analizado. Este comportamiento sugiere un aumento sostenido de barreras percibidas por los usuarios, especialmente en componentes asociados al acceso efectivo, oportunidad de servicios, continuidad de la atención, respuesta institucional y resolución de necesidades en salud.</w:t>
      </w:r>
    </w:p>
    <w:p w14:paraId="0405D268" w14:textId="77777777" w:rsidR="00B20391" w:rsidRDefault="00B20391" w:rsidP="005B2285">
      <w:pPr>
        <w:pStyle w:val="Prrafodelista"/>
        <w:rPr>
          <w:rFonts w:ascii="Arial" w:eastAsia="Arial" w:hAnsi="Arial" w:cs="Arial"/>
          <w:color w:val="000000" w:themeColor="text1"/>
        </w:rPr>
      </w:pPr>
    </w:p>
    <w:p w14:paraId="50E467C0" w14:textId="77777777" w:rsidR="00B20391" w:rsidRP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La oportunidad de respuesta a las PQRS representa una alerta crítica para la garantía del derecho fundamental a la salud.</w:t>
      </w:r>
      <w:r w:rsidRPr="00B20391">
        <w:rPr>
          <w:rFonts w:ascii="Arial" w:eastAsia="Arial" w:hAnsi="Arial" w:cs="Arial"/>
          <w:color w:val="000000" w:themeColor="text1"/>
        </w:rPr>
        <w:t xml:space="preserve"> Los resultados de 2025 muestran niveles elevados de incumplimiento en los tiempos de respuesta, particularmente en las manifestaciones clasificadas como riesgo vital, riesgo priorizado y riesgo simple. El incumplimiento acumulado fue de 81,60% en riesgo vital, 97,80% en riesgo priorizado, 92,71% en riesgo simple y 52,11% en peticiones generales. Este comportamiento evidencia dificultades estructurales para responder dentro de los términos normativos, especialmente en solicitudes que pueden comprometer la vida, la integridad, la continuidad del tratamiento o el acceso oportuno a servicios requeridos por los usuarios.</w:t>
      </w:r>
    </w:p>
    <w:p w14:paraId="656D1873" w14:textId="77777777" w:rsid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Las principales barreras de acceso se concentran en oportunidad de servicios y entrega de medicamentos, lo que configura un riesgo directo sobre la continuidad de la atención.</w:t>
      </w:r>
      <w:r w:rsidRPr="00B20391">
        <w:rPr>
          <w:rFonts w:ascii="Arial" w:eastAsia="Arial" w:hAnsi="Arial" w:cs="Arial"/>
          <w:color w:val="000000" w:themeColor="text1"/>
        </w:rPr>
        <w:t xml:space="preserve"> En el análisis de motivos de PQRS, la oportunidad de citas en la red contratada concentró 53.455 manifestaciones, equivalentes al 66,94%, seguida por el no suministro de medicamentos, con 18.574 manifestaciones, equivalentes al 23,26%. En conjunto, estos dos motivos </w:t>
      </w:r>
      <w:r w:rsidRPr="00B20391">
        <w:rPr>
          <w:rFonts w:ascii="Arial" w:eastAsia="Arial" w:hAnsi="Arial" w:cs="Arial"/>
          <w:color w:val="000000" w:themeColor="text1"/>
        </w:rPr>
        <w:lastRenderedPageBreak/>
        <w:t>representan el 90,20% de las principales causas de inconformidad. De manera complementaria, la información de Bogotá Te Escucha y SIDMA muestra que, sobre 8.600 PQRS tramitadas por la Subdirección de Garantía del Aseguramiento, el 72% correspondió a no oportunidad de servicios y el 21% a no entrega oportuna de medicamentos. Estos resultados confirman que las principales barreras reportadas por los usuarios se relacionan con el acceso efectivo a servicios y la continuidad terapéutica.</w:t>
      </w:r>
    </w:p>
    <w:p w14:paraId="4B954837" w14:textId="77777777" w:rsidR="00B20391" w:rsidRPr="00B20391" w:rsidRDefault="00B20391" w:rsidP="005B2285">
      <w:pPr>
        <w:spacing w:line="360" w:lineRule="auto"/>
        <w:ind w:left="360"/>
        <w:jc w:val="both"/>
        <w:rPr>
          <w:rFonts w:ascii="Arial" w:eastAsia="Arial" w:hAnsi="Arial" w:cs="Arial"/>
          <w:color w:val="000000" w:themeColor="text1"/>
        </w:rPr>
      </w:pPr>
    </w:p>
    <w:p w14:paraId="254FDC9B" w14:textId="77777777" w:rsid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Los eventos de mortalidad materna registrados en Capital Salud EPS-S reflejan una alerta frente a la gestión integral del riesgo materno-perinatal.</w:t>
      </w:r>
      <w:r w:rsidRPr="00B20391">
        <w:rPr>
          <w:rFonts w:ascii="Arial" w:eastAsia="Arial" w:hAnsi="Arial" w:cs="Arial"/>
          <w:color w:val="000000" w:themeColor="text1"/>
        </w:rPr>
        <w:t xml:space="preserve"> Durante 2025, la EPS registró dos casos de muerte materna, con una Razón de Mortalidad Materna preliminar de 36,85 por cada 100.000 nacidos vivos, ligeramente superior a la razón distrital reportada para Bogotá a diciembre de 2025, ubicada en 35,3 por cada 100.000 nacidos vivos. Ambos eventos correspondieron a muertes maternas directas, asociadas a complicaciones obstétricas agudas, como trastorno hipertensivo del embarazo y hemorragia obstétrica masiva. La presencia de controles prenatales insuficientes y los hallazgos GAUDI/IVS relacionados con incumplimientos en cuidado prenatal, parto, puerperio y seguimiento del recién nacido refuerzan la necesidad de fortalecer la captación temprana, el seguimiento nominal de gestantes, la clasificación del riesgo y la activación oportuna de rutas de atención.</w:t>
      </w:r>
    </w:p>
    <w:p w14:paraId="700601E1" w14:textId="77777777" w:rsidR="00B20391" w:rsidRDefault="00B20391" w:rsidP="005B2285">
      <w:pPr>
        <w:pStyle w:val="Prrafodelista"/>
        <w:rPr>
          <w:rFonts w:ascii="Arial" w:eastAsia="Arial" w:hAnsi="Arial" w:cs="Arial"/>
          <w:color w:val="000000" w:themeColor="text1"/>
        </w:rPr>
      </w:pPr>
    </w:p>
    <w:p w14:paraId="03CEDE36" w14:textId="77777777" w:rsid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La mortalidad infantil muestra una tasa general baja, pero con diferencias territoriales y causas clínicas que requieren intervención focalizada.</w:t>
      </w:r>
      <w:r w:rsidRPr="00B20391">
        <w:rPr>
          <w:rFonts w:ascii="Arial" w:eastAsia="Arial" w:hAnsi="Arial" w:cs="Arial"/>
          <w:color w:val="000000" w:themeColor="text1"/>
        </w:rPr>
        <w:t xml:space="preserve"> En 2025, Capital Salud EPS-S registró 67 casos de mortalidad infantil sobre 56.541 nacimientos, para una tasa general de 1,18 por cada 1.000 nacidos vivos. Aunque el valor agregado puede considerarse relativamente bajo, el análisis territorial evidencia concentración de casos en Ciudad Bolívar, Kennedy, Usme y Engativá, así como tasas superiores al promedio en Antonio Nariño, Santa Fe, Usme y San Cristóbal. Las principales causas se relacionaron con trastornos respiratorios del periodo perinatal, malformaciones congénitas y sepsis bacteriana del recién nacido, lo que orienta la necesidad de fortalecer el control </w:t>
      </w:r>
      <w:r w:rsidRPr="00B20391">
        <w:rPr>
          <w:rFonts w:ascii="Arial" w:eastAsia="Arial" w:hAnsi="Arial" w:cs="Arial"/>
          <w:color w:val="000000" w:themeColor="text1"/>
        </w:rPr>
        <w:lastRenderedPageBreak/>
        <w:t>prenatal, la atención segura del parto, el cuidado neonatal inmediato, la detección de signos de alarma y el seguimiento nominal del recién nacido de riesgo.</w:t>
      </w:r>
    </w:p>
    <w:p w14:paraId="476359AC" w14:textId="77777777" w:rsidR="00B20391" w:rsidRDefault="00B20391" w:rsidP="005B2285">
      <w:pPr>
        <w:pStyle w:val="Prrafodelista"/>
        <w:rPr>
          <w:rFonts w:ascii="Arial" w:eastAsia="Arial" w:hAnsi="Arial" w:cs="Arial"/>
          <w:color w:val="000000" w:themeColor="text1"/>
        </w:rPr>
      </w:pPr>
    </w:p>
    <w:p w14:paraId="322F5E10" w14:textId="77777777" w:rsid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Las coberturas de vacunación de Capital Salud EPS-S evidencian incumplimiento frente a la meta esperada del Programa Ampliado de Inmunizaciones.</w:t>
      </w:r>
      <w:r w:rsidRPr="00B20391">
        <w:rPr>
          <w:rFonts w:ascii="Arial" w:eastAsia="Arial" w:hAnsi="Arial" w:cs="Arial"/>
          <w:color w:val="000000" w:themeColor="text1"/>
        </w:rPr>
        <w:t xml:space="preserve"> Durante 2025, la EPS registró coberturas inferiores al 95% en los biológicos trazadores evaluados, con brechas relevantes en refuerzo DPT a los cinco años, refuerzo triple viral a los 18 meses, vacunación contra VPH, sarampión-rubéola y estrategias de captación para fiebre amarilla. En VPH, las coberturas fueron de 40,9% en niñas y 39,4% en niños de 9 años; en sarampión-rubéola, la cobertura fue de 73,2%, con 32.839 susceptibles pendientes; y en refuerzo triple viral a los 18 meses se alcanzó 73,0%. Estos resultados incrementan el riesgo de acumulación de susceptibles y aparición de enfermedades inmunoprevenibles, por lo que se requiere búsqueda activa, depuración nominal, demanda inducida y cierre efectivo de esquemas.</w:t>
      </w:r>
    </w:p>
    <w:p w14:paraId="5DF545E0" w14:textId="77777777" w:rsidR="00B20391" w:rsidRDefault="00B20391" w:rsidP="005B2285">
      <w:pPr>
        <w:pStyle w:val="Prrafodelista"/>
        <w:rPr>
          <w:rFonts w:ascii="Arial" w:eastAsia="Arial" w:hAnsi="Arial" w:cs="Arial"/>
          <w:color w:val="000000" w:themeColor="text1"/>
        </w:rPr>
      </w:pPr>
    </w:p>
    <w:p w14:paraId="5E38583D" w14:textId="41149147" w:rsid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 xml:space="preserve">Los resultados del seguimiento GAMA </w:t>
      </w:r>
      <w:r w:rsidR="00754F3A">
        <w:rPr>
          <w:rFonts w:ascii="Arial" w:eastAsia="Arial" w:hAnsi="Arial" w:cs="Arial"/>
          <w:b/>
          <w:bCs/>
          <w:color w:val="000000" w:themeColor="text1"/>
        </w:rPr>
        <w:t xml:space="preserve">en Capital Salud EPS, </w:t>
      </w:r>
      <w:r w:rsidRPr="00B20391">
        <w:rPr>
          <w:rFonts w:ascii="Arial" w:eastAsia="Arial" w:hAnsi="Arial" w:cs="Arial"/>
          <w:b/>
          <w:bCs/>
          <w:color w:val="000000" w:themeColor="text1"/>
        </w:rPr>
        <w:t>evidencian dificultades en la oportunidad de referencia, remisión, traslados e interconsultas, con impacto sobre la continuidad asistencial.</w:t>
      </w:r>
      <w:r w:rsidRPr="00B20391">
        <w:rPr>
          <w:rFonts w:ascii="Arial" w:eastAsia="Arial" w:hAnsi="Arial" w:cs="Arial"/>
          <w:color w:val="000000" w:themeColor="text1"/>
        </w:rPr>
        <w:t xml:space="preserve"> De los 8.955 casos identificados por GAMA con inoportunidad superior a 24 horas, 1.079 correspondieron a usuarios de Capital Salud EPS-S, equivalentes al 12,0% del total de casos objeto de seguimiento. La mayor proporción se concentró en IPS de la red contratada, especialmente en Subredes Integradas de Servicios de Salud, lo que evidencia que las barreras no se limitan a la ausencia de contrato, sino también a la capacidad instalada efectiva, </w:t>
      </w:r>
      <w:r w:rsidR="00754F3A">
        <w:rPr>
          <w:rFonts w:ascii="Arial" w:eastAsia="Arial" w:hAnsi="Arial" w:cs="Arial"/>
          <w:color w:val="000000" w:themeColor="text1"/>
        </w:rPr>
        <w:t xml:space="preserve">barreras operativas de </w:t>
      </w:r>
      <w:r w:rsidRPr="00B20391">
        <w:rPr>
          <w:rFonts w:ascii="Arial" w:eastAsia="Arial" w:hAnsi="Arial" w:cs="Arial"/>
          <w:color w:val="000000" w:themeColor="text1"/>
        </w:rPr>
        <w:t>disponibilidad de camas, articulación de referencia y contrarreferencia, gestión de autorizaciones y respuesta operativa de la red. Este comportamiento requiere monitoreo permanente por prestador, servicio, nivel de complejidad, causa de inoportunidad y tiempo efectivo de resolución.</w:t>
      </w:r>
    </w:p>
    <w:p w14:paraId="1E7A7722" w14:textId="77777777" w:rsidR="00B20391" w:rsidRDefault="00B20391" w:rsidP="005B2285">
      <w:pPr>
        <w:pStyle w:val="Prrafodelista"/>
        <w:rPr>
          <w:rFonts w:ascii="Arial" w:eastAsia="Arial" w:hAnsi="Arial" w:cs="Arial"/>
          <w:color w:val="000000" w:themeColor="text1"/>
        </w:rPr>
      </w:pPr>
    </w:p>
    <w:p w14:paraId="329E007E" w14:textId="38EF8059" w:rsid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lastRenderedPageBreak/>
        <w:t>La red farmacéutica presenta desequilibrios territoriales que pueden afectar la accesibilidad efectiva a medicamentos.</w:t>
      </w:r>
      <w:r w:rsidRPr="00B20391">
        <w:rPr>
          <w:rFonts w:ascii="Arial" w:eastAsia="Arial" w:hAnsi="Arial" w:cs="Arial"/>
          <w:color w:val="000000" w:themeColor="text1"/>
        </w:rPr>
        <w:t xml:space="preserve"> Capital Salud EPS-S reportó 14 puntos de dispensación para una población asignada de 898.109 afiliados, lo que representa un promedio aproximado de 64.151 usuarios por punto. Localidades con alta concentración poblacional, como Ciudad Bolívar, Kennedy, Usme, Suba, San Cristóbal y Engativá, cuentan con un número limitado de puntos de dispensación, mientras que otras localidades con población afiliada no registran puntos dentro de su territorio. Esta distribución puede generar barreras geográficas, mayores tiempos de desplazamiento, congestión en puntos de atención, entregas parciales y afectación de la continuidad terapéutica, especialmente en población crónica, adultos mayores, gestantes y usuarios con condiciones de alto costo.</w:t>
      </w:r>
    </w:p>
    <w:p w14:paraId="76AE9476" w14:textId="77777777" w:rsidR="00B20391" w:rsidRDefault="00B20391" w:rsidP="005B2285">
      <w:pPr>
        <w:pStyle w:val="Prrafodelista"/>
        <w:rPr>
          <w:rFonts w:ascii="Arial" w:eastAsia="Arial" w:hAnsi="Arial" w:cs="Arial"/>
          <w:color w:val="000000" w:themeColor="text1"/>
        </w:rPr>
      </w:pPr>
    </w:p>
    <w:p w14:paraId="72859D90" w14:textId="77777777" w:rsid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La dispensación de medicamentos en cohortes priorizadas evidencia riesgos relevantes para la continuidad terapéutica.</w:t>
      </w:r>
      <w:r w:rsidRPr="00B20391">
        <w:rPr>
          <w:rFonts w:ascii="Arial" w:eastAsia="Arial" w:hAnsi="Arial" w:cs="Arial"/>
          <w:color w:val="000000" w:themeColor="text1"/>
        </w:rPr>
        <w:t xml:space="preserve"> Entre enero y octubre de 2025 se registraron 367.653 medicamentos solicitados en cohortes priorizadas, de los cuales 71.879 quedaron pendientes y 35.763 permanecieron sin entrega efectiva a la fecha de corte, lo que representa un porcentaje de no entrega del 49,75% sobre los pendientes. Las mayores afectaciones absolutas se concentraron en cáncer, artritis, enfermedad renal crónica y VIH, cohortes que requieren tratamientos continuos y especializados. Aunque los indicadores agregados de dispensación muestran niveles superiores al 90% en completitud y oportunidad, los pendientes sin entrega efectiva en cohortes de alto riesgo evidencian que los indicadores globales pueden ocultar brechas específicas en poblaciones clínicas sensibles.</w:t>
      </w:r>
    </w:p>
    <w:p w14:paraId="30F0D80F" w14:textId="77777777" w:rsidR="00B20391" w:rsidRDefault="00B20391" w:rsidP="005B2285">
      <w:pPr>
        <w:pStyle w:val="Prrafodelista"/>
        <w:rPr>
          <w:rFonts w:ascii="Arial" w:eastAsia="Arial" w:hAnsi="Arial" w:cs="Arial"/>
          <w:color w:val="000000" w:themeColor="text1"/>
        </w:rPr>
      </w:pPr>
    </w:p>
    <w:p w14:paraId="0AFA9B92" w14:textId="77777777" w:rsid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La situación financiera de Capital Salud EPS-S muestra un deterioro progresivo del margen patrimonial y aumento del apalancamiento.</w:t>
      </w:r>
      <w:r w:rsidRPr="00B20391">
        <w:rPr>
          <w:rFonts w:ascii="Arial" w:eastAsia="Arial" w:hAnsi="Arial" w:cs="Arial"/>
          <w:color w:val="000000" w:themeColor="text1"/>
        </w:rPr>
        <w:t xml:space="preserve"> Entre enero y diciembre de 2025, los activos totales pasaron de $471.497 millones a $485.120 millones, con un crecimiento moderado del 2,9%; sin embargo, los pasivos aumentaron de $404.258 millones a $466.797 millones, con una variación del 15,5%. Este crecimiento del pasivo fue superior al de los activos y </w:t>
      </w:r>
      <w:r w:rsidRPr="00B20391">
        <w:rPr>
          <w:rFonts w:ascii="Arial" w:eastAsia="Arial" w:hAnsi="Arial" w:cs="Arial"/>
          <w:color w:val="000000" w:themeColor="text1"/>
        </w:rPr>
        <w:lastRenderedPageBreak/>
        <w:t>estuvo asociado principalmente al aumento de cuentas por pagar a proveedores médicos y provisiones. En paralelo, el patrimonio disminuyó de $67.239 millones a $18.323 millones, equivalente a una reducción aproximada del 72,8%, lo que evidencia pérdida de respaldo patrimonial y menor capacidad para absorber contingencias.</w:t>
      </w:r>
    </w:p>
    <w:p w14:paraId="6CECB1AA" w14:textId="77777777" w:rsidR="00B20391" w:rsidRDefault="00B20391" w:rsidP="005B2285">
      <w:pPr>
        <w:pStyle w:val="Prrafodelista"/>
        <w:rPr>
          <w:rFonts w:ascii="Arial" w:eastAsia="Arial" w:hAnsi="Arial" w:cs="Arial"/>
          <w:color w:val="000000" w:themeColor="text1"/>
        </w:rPr>
      </w:pPr>
    </w:p>
    <w:p w14:paraId="4B2EE610" w14:textId="77777777" w:rsid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Los indicadores financieros confirman presión sobre la sostenibilidad operativa y el flujo hacia la red prestadora.</w:t>
      </w:r>
      <w:r w:rsidRPr="00B20391">
        <w:rPr>
          <w:rFonts w:ascii="Arial" w:eastAsia="Arial" w:hAnsi="Arial" w:cs="Arial"/>
          <w:color w:val="000000" w:themeColor="text1"/>
        </w:rPr>
        <w:t xml:space="preserve"> La relación entre activos y pasivos pasó de 116,6% en enero a 103,9% en diciembre de 2025, mientras que el endeudamiento, medido como pasivos sobre activos, cerró en 96,22%. Adicionalmente, la siniestralidad se mantuvo por encima del 100% durante toda la vigencia y cerró diciembre en 103,42%, lo que indica que el gasto en salud superó los ingresos reconocidos por UPC. Esta combinación de alto endeudamiento, deterioro patrimonial, incremento de cuentas por pagar y siniestralidad superior al equilibrio técnico configura un riesgo financiero que puede incidir en la oportunidad de pagos, la suficiencia de red, la continuidad contractual y la prestación efectiva de servicios.</w:t>
      </w:r>
    </w:p>
    <w:p w14:paraId="2895AB67" w14:textId="77777777" w:rsidR="00B20391" w:rsidRDefault="00B20391" w:rsidP="005B2285">
      <w:pPr>
        <w:pStyle w:val="Prrafodelista"/>
        <w:rPr>
          <w:rFonts w:ascii="Arial" w:eastAsia="Arial" w:hAnsi="Arial" w:cs="Arial"/>
          <w:color w:val="000000" w:themeColor="text1"/>
        </w:rPr>
      </w:pPr>
    </w:p>
    <w:p w14:paraId="613CCC3A" w14:textId="77777777" w:rsid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El análisis integral permite concluir que Capital Salud EPS-S presenta un perfil de riesgo operativo, asistencial y financiero que amerita seguimiento prioritario por parte del ente territorial.</w:t>
      </w:r>
      <w:r w:rsidRPr="00B20391">
        <w:rPr>
          <w:rFonts w:ascii="Arial" w:eastAsia="Arial" w:hAnsi="Arial" w:cs="Arial"/>
          <w:color w:val="000000" w:themeColor="text1"/>
        </w:rPr>
        <w:t xml:space="preserve"> Los hallazgos del informe muestran convergencia entre barreras de acceso reportadas por los usuarios, inoportunidad en PQRS, incumplimientos en rutas de atención, brechas en vacunación, dificultades en referencia y contrarreferencia, pendientes de medicamentos en cohortes de alto riesgo y deterioro financiero. Esta acumulación de alertas sugiere que los riesgos no son aislados, sino interdependientes, y pueden afectar simultáneamente la experiencia del usuario, la continuidad de la atención, la gestión del riesgo en salud y la sostenibilidad operativa de la EPS.</w:t>
      </w:r>
    </w:p>
    <w:p w14:paraId="3694A061" w14:textId="77777777" w:rsidR="00B20391" w:rsidRDefault="00B20391" w:rsidP="005B2285">
      <w:pPr>
        <w:pStyle w:val="Prrafodelista"/>
        <w:rPr>
          <w:rFonts w:ascii="Arial" w:eastAsia="Arial" w:hAnsi="Arial" w:cs="Arial"/>
          <w:color w:val="000000" w:themeColor="text1"/>
        </w:rPr>
      </w:pPr>
    </w:p>
    <w:p w14:paraId="7473B3CB" w14:textId="5D70F856" w:rsidR="00B20391" w:rsidRPr="00B20391" w:rsidRDefault="00B20391" w:rsidP="005B2285">
      <w:pPr>
        <w:numPr>
          <w:ilvl w:val="0"/>
          <w:numId w:val="13"/>
        </w:numPr>
        <w:tabs>
          <w:tab w:val="clear" w:pos="0"/>
          <w:tab w:val="num" w:pos="720"/>
        </w:tabs>
        <w:spacing w:line="360" w:lineRule="auto"/>
        <w:jc w:val="both"/>
        <w:rPr>
          <w:rFonts w:ascii="Arial" w:eastAsia="Arial" w:hAnsi="Arial" w:cs="Arial"/>
          <w:color w:val="000000" w:themeColor="text1"/>
        </w:rPr>
      </w:pPr>
      <w:r w:rsidRPr="00B20391">
        <w:rPr>
          <w:rFonts w:ascii="Arial" w:eastAsia="Arial" w:hAnsi="Arial" w:cs="Arial"/>
          <w:b/>
          <w:bCs/>
          <w:color w:val="000000" w:themeColor="text1"/>
        </w:rPr>
        <w:t>Capital Salud EPS-S debe ser priorizada en acciones de inspección, vigilancia y seguimiento con enfoque correctivo y preventivo.</w:t>
      </w:r>
      <w:r w:rsidRPr="00B20391">
        <w:rPr>
          <w:rFonts w:ascii="Arial" w:eastAsia="Arial" w:hAnsi="Arial" w:cs="Arial"/>
          <w:color w:val="000000" w:themeColor="text1"/>
        </w:rPr>
        <w:t xml:space="preserve"> Se requiere </w:t>
      </w:r>
      <w:r w:rsidRPr="00B20391">
        <w:rPr>
          <w:rFonts w:ascii="Arial" w:eastAsia="Arial" w:hAnsi="Arial" w:cs="Arial"/>
          <w:color w:val="000000" w:themeColor="text1"/>
        </w:rPr>
        <w:lastRenderedPageBreak/>
        <w:t>exigir un plan de mejoramiento integral, con acciones verificables, responsables definidos, cronograma de cierre y seguimiento periódico sobre los componentes críticos identificados: oportunidad de servicios, gestión de PQRS, entrega de medicamentos, red prestadora, referencia y contrarreferencia, cohorte materno-perinatal, vacunación, dispensación farmacéutica, cuentas por pagar, siniestralidad, endeudamiento y recuperación patrimonial. La efectividad de estas acciones será determinante para reducir barreras de acceso, mejorar la continuidad de la atención y proteger a la población afiliada de mayor vulnerabilidad en Bogotá.</w:t>
      </w:r>
    </w:p>
    <w:p w14:paraId="78D060C9" w14:textId="77777777" w:rsidR="00B20391" w:rsidRPr="00242DFB" w:rsidRDefault="00B20391" w:rsidP="005B2285">
      <w:pPr>
        <w:spacing w:line="360" w:lineRule="auto"/>
        <w:rPr>
          <w:rFonts w:ascii="Arial" w:eastAsia="Arial" w:hAnsi="Arial" w:cs="Arial"/>
          <w:color w:val="000000" w:themeColor="text1"/>
        </w:rPr>
      </w:pPr>
    </w:p>
    <w:p w14:paraId="6E400116" w14:textId="4908CD96" w:rsidR="009F762E" w:rsidRPr="00B20391" w:rsidRDefault="00000000" w:rsidP="005B2285">
      <w:pPr>
        <w:pStyle w:val="Ttulo1"/>
        <w:numPr>
          <w:ilvl w:val="0"/>
          <w:numId w:val="7"/>
        </w:numPr>
        <w:spacing w:before="0"/>
        <w:jc w:val="both"/>
        <w:rPr>
          <w:rStyle w:val="eop"/>
          <w:rFonts w:ascii="Arial" w:hAnsi="Arial" w:cs="Arial"/>
          <w:b/>
          <w:bCs/>
          <w:color w:val="000000" w:themeColor="text1"/>
          <w:sz w:val="24"/>
          <w:szCs w:val="24"/>
        </w:rPr>
      </w:pPr>
      <w:bookmarkStart w:id="124" w:name="_Toc233574859"/>
      <w:r w:rsidRPr="00B20391">
        <w:rPr>
          <w:rStyle w:val="eop"/>
          <w:rFonts w:ascii="Arial" w:hAnsi="Arial" w:cs="Arial"/>
          <w:b/>
          <w:bCs/>
          <w:color w:val="000000" w:themeColor="text1"/>
          <w:sz w:val="24"/>
          <w:szCs w:val="24"/>
        </w:rPr>
        <w:t>GLOSARIO DE TÉRMINOS</w:t>
      </w:r>
      <w:bookmarkEnd w:id="124"/>
    </w:p>
    <w:p w14:paraId="2F33B09D" w14:textId="77777777" w:rsidR="00282816" w:rsidRDefault="00282816" w:rsidP="005B2285">
      <w:pPr>
        <w:spacing w:line="360" w:lineRule="auto"/>
        <w:rPr>
          <w:rFonts w:ascii="Arial" w:eastAsia="Arial" w:hAnsi="Arial" w:cs="Arial"/>
          <w:color w:val="000000" w:themeColor="text1"/>
        </w:rPr>
      </w:pPr>
    </w:p>
    <w:p w14:paraId="705601F4"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Accesibilidad:</w:t>
      </w:r>
      <w:r w:rsidRPr="00282816">
        <w:rPr>
          <w:rFonts w:ascii="Arial" w:eastAsia="Arial" w:hAnsi="Arial" w:cs="Arial"/>
          <w:color w:val="000000" w:themeColor="text1"/>
        </w:rPr>
        <w:t xml:space="preserve"> Condición que permite a los usuarios utilizar efectivamente los servicios de salud requeridos, sin barreras geográficas, administrativas, económicas, culturales, tecnológicas o de oportunidad.</w:t>
      </w:r>
    </w:p>
    <w:p w14:paraId="2E95D053"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Activo:</w:t>
      </w:r>
      <w:r w:rsidRPr="00282816">
        <w:rPr>
          <w:rFonts w:ascii="Arial" w:eastAsia="Arial" w:hAnsi="Arial" w:cs="Arial"/>
          <w:color w:val="000000" w:themeColor="text1"/>
        </w:rPr>
        <w:t xml:space="preserve"> Recurso, bien o derecho controlado por una entidad, del cual se espera obtener beneficios económicos futuros. En el análisis financiero de una EPS incluye, entre otros, efectivo, cuentas por cobrar, anticipos, depósitos, propiedad, planta y equipo e impuestos diferidos.</w:t>
      </w:r>
    </w:p>
    <w:p w14:paraId="4465BC2C"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Activo corriente:</w:t>
      </w:r>
      <w:r w:rsidRPr="00282816">
        <w:rPr>
          <w:rFonts w:ascii="Arial" w:eastAsia="Arial" w:hAnsi="Arial" w:cs="Arial"/>
          <w:color w:val="000000" w:themeColor="text1"/>
        </w:rPr>
        <w:t xml:space="preserve"> Recursos o derechos que se espera convertir en efectivo, realizar, consumir o recuperar en un plazo menor a un año. Su análisis permite aproximarse a la capacidad de la entidad para atender obligaciones de corto plazo.</w:t>
      </w:r>
    </w:p>
    <w:p w14:paraId="0DF0AA6C"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ADRES:</w:t>
      </w:r>
      <w:r w:rsidRPr="00282816">
        <w:rPr>
          <w:rFonts w:ascii="Arial" w:eastAsia="Arial" w:hAnsi="Arial" w:cs="Arial"/>
          <w:color w:val="000000" w:themeColor="text1"/>
        </w:rPr>
        <w:t xml:space="preserve"> Administradora de los Recursos del Sistema General de Seguridad Social en Salud. Es la entidad encargada de administrar y girar los recursos del sistema de salud, incluyendo los pagos asociados a la Unidad de Pago por Capitación —UPC—.</w:t>
      </w:r>
    </w:p>
    <w:p w14:paraId="64C69AD1"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Aseguramiento en salud:</w:t>
      </w:r>
      <w:r w:rsidRPr="00282816">
        <w:rPr>
          <w:rFonts w:ascii="Arial" w:eastAsia="Arial" w:hAnsi="Arial" w:cs="Arial"/>
          <w:color w:val="000000" w:themeColor="text1"/>
        </w:rPr>
        <w:t xml:space="preserve"> Conjunto de funciones orientadas a la afiliación, gestión del riesgo en salud, administración de recursos, conformación de red prestadora, garantía del acceso a servicios y representación del usuario ante los demás actores del sistema.</w:t>
      </w:r>
    </w:p>
    <w:p w14:paraId="322E3CDC"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lastRenderedPageBreak/>
        <w:t>Atención materno-perinatal:</w:t>
      </w:r>
      <w:r w:rsidRPr="00282816">
        <w:rPr>
          <w:rFonts w:ascii="Arial" w:eastAsia="Arial" w:hAnsi="Arial" w:cs="Arial"/>
          <w:color w:val="000000" w:themeColor="text1"/>
        </w:rPr>
        <w:t xml:space="preserve"> Conjunto de intervenciones dirigidas a la mujer en edad fértil, gestante, puérpera, recién nacido y familia, orientadas a garantizar captación temprana, control prenatal, atención segura del parto, seguimiento del puerperio y cuidado del recién nacido.</w:t>
      </w:r>
    </w:p>
    <w:p w14:paraId="32E1A435"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BDUA:</w:t>
      </w:r>
      <w:r w:rsidRPr="00282816">
        <w:rPr>
          <w:rFonts w:ascii="Arial" w:eastAsia="Arial" w:hAnsi="Arial" w:cs="Arial"/>
          <w:color w:val="000000" w:themeColor="text1"/>
        </w:rPr>
        <w:t xml:space="preserve"> Base de Datos Única de Afiliados. Es la base oficial que consolida la información de afiliación al Sistema General de Seguridad Social en Salud, utilizada para identificar población afiliada por régimen, EPS, entidad territorial y estado de afiliación.</w:t>
      </w:r>
    </w:p>
    <w:p w14:paraId="15654865"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Bogotá Te Escucha:</w:t>
      </w:r>
      <w:r w:rsidRPr="00282816">
        <w:rPr>
          <w:rFonts w:ascii="Arial" w:eastAsia="Arial" w:hAnsi="Arial" w:cs="Arial"/>
          <w:color w:val="000000" w:themeColor="text1"/>
        </w:rPr>
        <w:t xml:space="preserve"> Sistema distrital utilizado para la recepción, registro, gestión y seguimiento de manifestaciones ciudadanas, incluyendo peticiones, quejas, reclamos, sugerencias y denuncias relacionadas con la prestación de servicios y garantía de derechos.</w:t>
      </w:r>
    </w:p>
    <w:p w14:paraId="6996F493"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Capacidad instalada:</w:t>
      </w:r>
      <w:r w:rsidRPr="00282816">
        <w:rPr>
          <w:rFonts w:ascii="Arial" w:eastAsia="Arial" w:hAnsi="Arial" w:cs="Arial"/>
          <w:color w:val="000000" w:themeColor="text1"/>
        </w:rPr>
        <w:t xml:space="preserve"> Conjunto de recursos físicos, tecnológicos, humanos, administrativos y operativos disponibles en una red o institución prestadora para atender la demanda de servicios de salud. Incluye consultorios, camas, equipos, talento humano, servicios habilitados y capacidad resolutiva.</w:t>
      </w:r>
    </w:p>
    <w:p w14:paraId="5F3199D8"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Capital mínimo:</w:t>
      </w:r>
      <w:r w:rsidRPr="00282816">
        <w:rPr>
          <w:rFonts w:ascii="Arial" w:eastAsia="Arial" w:hAnsi="Arial" w:cs="Arial"/>
          <w:color w:val="000000" w:themeColor="text1"/>
        </w:rPr>
        <w:t xml:space="preserve"> Requisito financiero exigido a las EPS para respaldar su operación y garantizar una base mínima de solvencia patrimonial. Hace parte de las condiciones financieras que deben observar las entidades aseguradoras.</w:t>
      </w:r>
    </w:p>
    <w:p w14:paraId="0CE7E9A2"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Cartera:</w:t>
      </w:r>
      <w:r w:rsidRPr="00282816">
        <w:rPr>
          <w:rFonts w:ascii="Arial" w:eastAsia="Arial" w:hAnsi="Arial" w:cs="Arial"/>
          <w:color w:val="000000" w:themeColor="text1"/>
        </w:rPr>
        <w:t xml:space="preserve"> Derechos de cobro que tiene una entidad frente a terceros. En el análisis financiero de una EPS puede incluir cuentas por cobrar derivadas de relaciones contractuales, recobros, giros pendientes, saldos por compensación u otros conceptos.</w:t>
      </w:r>
    </w:p>
    <w:p w14:paraId="37FAB07D"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CIE-10:</w:t>
      </w:r>
      <w:r w:rsidRPr="00282816">
        <w:rPr>
          <w:rFonts w:ascii="Arial" w:eastAsia="Arial" w:hAnsi="Arial" w:cs="Arial"/>
          <w:color w:val="000000" w:themeColor="text1"/>
        </w:rPr>
        <w:t xml:space="preserve"> Clasificación Internacional de Enfermedades, décima revisión. Es el sistema utilizado para codificar diagnósticos, causas de enfermedad y causas de muerte en los registros clínicos y estadísticas vitales.</w:t>
      </w:r>
    </w:p>
    <w:p w14:paraId="27516D93"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Cohorte priorizada:</w:t>
      </w:r>
      <w:r w:rsidRPr="00282816">
        <w:rPr>
          <w:rFonts w:ascii="Arial" w:eastAsia="Arial" w:hAnsi="Arial" w:cs="Arial"/>
          <w:color w:val="000000" w:themeColor="text1"/>
        </w:rPr>
        <w:t xml:space="preserve"> Grupo de usuarios clasificado por condición clínica, riesgo o característica poblacional que requiere seguimiento diferencial. En el informe se aplica a poblaciones con cáncer, enfermedad renal crónica, VIH, artritis, enfermedades huérfanas, hemofilia, hepatitis C y trasplantados, entre otras.</w:t>
      </w:r>
    </w:p>
    <w:p w14:paraId="79E562C9"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lastRenderedPageBreak/>
        <w:t>Continuidad de la atención:</w:t>
      </w:r>
      <w:r w:rsidRPr="00282816">
        <w:rPr>
          <w:rFonts w:ascii="Arial" w:eastAsia="Arial" w:hAnsi="Arial" w:cs="Arial"/>
          <w:color w:val="000000" w:themeColor="text1"/>
        </w:rPr>
        <w:t xml:space="preserve"> Capacidad del sistema para garantizar que el usuario reciba servicios, tratamientos, controles, medicamentos y seguimiento clínico sin interrupciones injustificadas a lo largo de su proceso de atención.</w:t>
      </w:r>
    </w:p>
    <w:p w14:paraId="700BB6AC"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Control prenatal:</w:t>
      </w:r>
      <w:r w:rsidRPr="00282816">
        <w:rPr>
          <w:rFonts w:ascii="Arial" w:eastAsia="Arial" w:hAnsi="Arial" w:cs="Arial"/>
          <w:color w:val="000000" w:themeColor="text1"/>
        </w:rPr>
        <w:t xml:space="preserve"> Conjunto de consultas, intervenciones y seguimientos realizados durante la gestación para identificar riesgos, prevenir complicaciones, ordenar exámenes, garantizar vacunación, formular micronutrientes, definir plan de parto y activar rutas de atención cuando se requiera.</w:t>
      </w:r>
    </w:p>
    <w:p w14:paraId="0C6BD5DB"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Cuentas por cobrar:</w:t>
      </w:r>
      <w:r w:rsidRPr="00282816">
        <w:rPr>
          <w:rFonts w:ascii="Arial" w:eastAsia="Arial" w:hAnsi="Arial" w:cs="Arial"/>
          <w:color w:val="000000" w:themeColor="text1"/>
        </w:rPr>
        <w:t xml:space="preserve"> Derechos económicos pendientes de recaudo a favor de la entidad. Su crecimiento puede representar presión sobre la liquidez si los recursos no se recuperan oportunamente.</w:t>
      </w:r>
    </w:p>
    <w:p w14:paraId="1FF7DF4B"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Cuentas por pagar:</w:t>
      </w:r>
      <w:r w:rsidRPr="00282816">
        <w:rPr>
          <w:rFonts w:ascii="Arial" w:eastAsia="Arial" w:hAnsi="Arial" w:cs="Arial"/>
          <w:color w:val="000000" w:themeColor="text1"/>
        </w:rPr>
        <w:t xml:space="preserve"> Obligaciones económicas pendientes de pago a cargo de la entidad. En una EPS, las cuentas por pagar a prestadores y proveedores son relevantes porque pueden afectar la continuidad contractual, la disponibilidad de servicios y la relación con la red prestadora.</w:t>
      </w:r>
    </w:p>
    <w:p w14:paraId="033E0496"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Demanda inducida:</w:t>
      </w:r>
      <w:r w:rsidRPr="00282816">
        <w:rPr>
          <w:rFonts w:ascii="Arial" w:eastAsia="Arial" w:hAnsi="Arial" w:cs="Arial"/>
          <w:color w:val="000000" w:themeColor="text1"/>
        </w:rPr>
        <w:t xml:space="preserve"> Estrategia mediante la cual la EPS o la red prestadora identifica, contacta y orienta activamente a los usuarios para que accedan a actividades de promoción, prevención, detección temprana, vacunación, control prenatal, seguimiento de cohortes o servicios priorizados.</w:t>
      </w:r>
    </w:p>
    <w:p w14:paraId="7D4294C7"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Dispensación de medicamentos:</w:t>
      </w:r>
      <w:r w:rsidRPr="00282816">
        <w:rPr>
          <w:rFonts w:ascii="Arial" w:eastAsia="Arial" w:hAnsi="Arial" w:cs="Arial"/>
          <w:color w:val="000000" w:themeColor="text1"/>
        </w:rPr>
        <w:t xml:space="preserve"> Proceso mediante el cual se entrega al usuario el medicamento prescrito, con verificación de la fórmula, validación de disponibilidad, registro de entrega y orientación sobre su uso adecuado. Debe realizarse de forma completa, oportuna y segura.</w:t>
      </w:r>
    </w:p>
    <w:p w14:paraId="7E528F87"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EAPB:</w:t>
      </w:r>
      <w:r w:rsidRPr="00282816">
        <w:rPr>
          <w:rFonts w:ascii="Arial" w:eastAsia="Arial" w:hAnsi="Arial" w:cs="Arial"/>
          <w:color w:val="000000" w:themeColor="text1"/>
        </w:rPr>
        <w:t xml:space="preserve"> Entidad Administradora de Planes de Beneficios. Concepto que agrupa a las entidades responsables de administrar planes de beneficios en salud, incluyendo EPS, entidades adaptadas, EPS indígenas y otros actores autorizados.</w:t>
      </w:r>
    </w:p>
    <w:p w14:paraId="40591AEA"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EEVV:</w:t>
      </w:r>
      <w:r w:rsidRPr="00282816">
        <w:rPr>
          <w:rFonts w:ascii="Arial" w:eastAsia="Arial" w:hAnsi="Arial" w:cs="Arial"/>
          <w:color w:val="000000" w:themeColor="text1"/>
        </w:rPr>
        <w:t xml:space="preserve"> Estadísticas Vitales. Sistema que consolida información sobre nacimientos, defunciones fetales y no fetales, y causas de muerte, utilizado para el análisis epidemiológico y la vigilancia en salud pública.</w:t>
      </w:r>
    </w:p>
    <w:p w14:paraId="356A5A00"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Endeudamiento:</w:t>
      </w:r>
      <w:r w:rsidRPr="00282816">
        <w:rPr>
          <w:rFonts w:ascii="Arial" w:eastAsia="Arial" w:hAnsi="Arial" w:cs="Arial"/>
          <w:color w:val="000000" w:themeColor="text1"/>
        </w:rPr>
        <w:t xml:space="preserve"> Indicador financiero que mide la proporción de los pasivos frente a los activos de una entidad. En el informe se calcula como pasivos totales </w:t>
      </w:r>
      <w:r w:rsidRPr="00282816">
        <w:rPr>
          <w:rFonts w:ascii="Arial" w:eastAsia="Arial" w:hAnsi="Arial" w:cs="Arial"/>
          <w:color w:val="000000" w:themeColor="text1"/>
        </w:rPr>
        <w:lastRenderedPageBreak/>
        <w:t>sobre activos totales. Un endeudamiento alto refleja mayor apalancamiento y menor margen patrimonial.</w:t>
      </w:r>
    </w:p>
    <w:p w14:paraId="4C0B876B"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EPS:</w:t>
      </w:r>
      <w:r w:rsidRPr="00282816">
        <w:rPr>
          <w:rFonts w:ascii="Arial" w:eastAsia="Arial" w:hAnsi="Arial" w:cs="Arial"/>
          <w:color w:val="000000" w:themeColor="text1"/>
        </w:rPr>
        <w:t xml:space="preserve"> Entidad Promotora de Salud. Responsable del aseguramiento de la población afiliada, la gestión del riesgo en salud, la conformación de redes de prestación, la garantía del acceso al Plan de Beneficios en Salud y la administración de los recursos asignados para la atención.</w:t>
      </w:r>
    </w:p>
    <w:p w14:paraId="7156F068"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EPS-S:</w:t>
      </w:r>
      <w:r w:rsidRPr="00282816">
        <w:rPr>
          <w:rFonts w:ascii="Arial" w:eastAsia="Arial" w:hAnsi="Arial" w:cs="Arial"/>
          <w:color w:val="000000" w:themeColor="text1"/>
        </w:rPr>
        <w:t xml:space="preserve"> Entidad Promotora de Salud del Régimen Subsidiado. Corresponde a la EPS que administra afiliados financiados principalmente con recursos públicos para población sin capacidad de pago o en condiciones de vulnerabilidad.</w:t>
      </w:r>
    </w:p>
    <w:p w14:paraId="2F51AC22"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ESE:</w:t>
      </w:r>
      <w:r w:rsidRPr="00282816">
        <w:rPr>
          <w:rFonts w:ascii="Arial" w:eastAsia="Arial" w:hAnsi="Arial" w:cs="Arial"/>
          <w:color w:val="000000" w:themeColor="text1"/>
        </w:rPr>
        <w:t xml:space="preserve"> Empresa Social del Estado. Institución pública prestadora de servicios de salud que hace parte de la red pública hospitalaria.</w:t>
      </w:r>
    </w:p>
    <w:p w14:paraId="6B4572FC"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Evento trazador:</w:t>
      </w:r>
      <w:r w:rsidRPr="00282816">
        <w:rPr>
          <w:rFonts w:ascii="Arial" w:eastAsia="Arial" w:hAnsi="Arial" w:cs="Arial"/>
          <w:color w:val="000000" w:themeColor="text1"/>
        </w:rPr>
        <w:t xml:space="preserve"> Evento o indicador que permite evaluar la calidad, oportunidad, continuidad, resolutividad o efectividad de la atención. En el informe se consideran trazadores la mortalidad materna, mortalidad infantil, vacunación, PQRS, medicamentos, referencia y contrarreferencia.</w:t>
      </w:r>
    </w:p>
    <w:p w14:paraId="62591732"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FT001:</w:t>
      </w:r>
      <w:r w:rsidRPr="00282816">
        <w:rPr>
          <w:rFonts w:ascii="Arial" w:eastAsia="Arial" w:hAnsi="Arial" w:cs="Arial"/>
          <w:color w:val="000000" w:themeColor="text1"/>
        </w:rPr>
        <w:t xml:space="preserve"> Formato de reporte financiero utilizado para consolidar información contable y financiera de las entidades vigiladas. En el informe se emplea para analizar activos, pasivos, patrimonio, siniestralidad, endeudamiento y otros componentes financieros de Capital Salud EPS-S.</w:t>
      </w:r>
    </w:p>
    <w:p w14:paraId="0EDBB781"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GAUDI:</w:t>
      </w:r>
      <w:r w:rsidRPr="00282816">
        <w:rPr>
          <w:rFonts w:ascii="Arial" w:eastAsia="Arial" w:hAnsi="Arial" w:cs="Arial"/>
          <w:color w:val="000000" w:themeColor="text1"/>
        </w:rPr>
        <w:t xml:space="preserve"> Guía de Auditoría Institucional de la Superintendencia Nacional de Salud. Herramienta que orienta los procesos auditores realizados por entidades territoriales a EPS de los regímenes contributivo y subsidiado, mediante estándares, criterios, evidencias, hallazgos y planes de mejoramiento.</w:t>
      </w:r>
    </w:p>
    <w:p w14:paraId="1E1B7747"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GAMA:</w:t>
      </w:r>
      <w:r w:rsidRPr="00282816">
        <w:rPr>
          <w:rFonts w:ascii="Arial" w:eastAsia="Arial" w:hAnsi="Arial" w:cs="Arial"/>
          <w:color w:val="000000" w:themeColor="text1"/>
        </w:rPr>
        <w:t xml:space="preserve"> Grupo de Atención y Monitoreo en Salud de la Secretaría Distrital de Salud. Realiza seguimiento operativo a casos con barreras de acceso, inoportunidad en referencia, traslados, remisiones, interconsultas y continuidad asistencial, especialmente en escenarios de presión sobre la red.</w:t>
      </w:r>
    </w:p>
    <w:p w14:paraId="1EBBA71A"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Gestión del riesgo en salud:</w:t>
      </w:r>
      <w:r w:rsidRPr="00282816">
        <w:rPr>
          <w:rFonts w:ascii="Arial" w:eastAsia="Arial" w:hAnsi="Arial" w:cs="Arial"/>
          <w:color w:val="000000" w:themeColor="text1"/>
        </w:rPr>
        <w:t xml:space="preserve"> Proceso mediante el cual la EPS identifica, clasifica, interviene, monitorea y evalúa riesgos individuales y colectivos de su </w:t>
      </w:r>
      <w:r w:rsidRPr="00282816">
        <w:rPr>
          <w:rFonts w:ascii="Arial" w:eastAsia="Arial" w:hAnsi="Arial" w:cs="Arial"/>
          <w:color w:val="000000" w:themeColor="text1"/>
        </w:rPr>
        <w:lastRenderedPageBreak/>
        <w:t>población afiliada, con el fin de prevenir eventos adversos, complicaciones, hospitalizaciones evitables y desenlaces negativos en salud.</w:t>
      </w:r>
    </w:p>
    <w:p w14:paraId="20064ECA"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Hallazgo:</w:t>
      </w:r>
      <w:r w:rsidRPr="00282816">
        <w:rPr>
          <w:rFonts w:ascii="Arial" w:eastAsia="Arial" w:hAnsi="Arial" w:cs="Arial"/>
          <w:color w:val="000000" w:themeColor="text1"/>
        </w:rPr>
        <w:t xml:space="preserve"> Resultado de auditoría que evidencia incumplimiento, desviación o brecha frente a un criterio evaluado. Debe estar sustentado en evidencia documental y puede dar lugar a acciones de mejoramiento.</w:t>
      </w:r>
    </w:p>
    <w:p w14:paraId="2D0953A8"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Indicador:</w:t>
      </w:r>
      <w:r w:rsidRPr="00282816">
        <w:rPr>
          <w:rFonts w:ascii="Arial" w:eastAsia="Arial" w:hAnsi="Arial" w:cs="Arial"/>
          <w:color w:val="000000" w:themeColor="text1"/>
        </w:rPr>
        <w:t xml:space="preserve"> Medida cuantitativa o cualitativa utilizada para monitorear el desempeño de un proceso, resultado o condición. En el informe se emplean indicadores de oportunidad, PQRS, vacunación, mortalidad, dispensación, siniestralidad y endeudamiento.</w:t>
      </w:r>
    </w:p>
    <w:p w14:paraId="59DB1751"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Inmunoprevenible:</w:t>
      </w:r>
      <w:r w:rsidRPr="00282816">
        <w:rPr>
          <w:rFonts w:ascii="Arial" w:eastAsia="Arial" w:hAnsi="Arial" w:cs="Arial"/>
          <w:color w:val="000000" w:themeColor="text1"/>
        </w:rPr>
        <w:t xml:space="preserve"> Enfermedad que puede prevenirse mediante vacunación. En el informe se relaciona con coberturas de PAI, triple viral, DPT, VPH, influenza, fiebre amarilla y sarampión-rubéola.</w:t>
      </w:r>
    </w:p>
    <w:p w14:paraId="451A5C9C"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IPS:</w:t>
      </w:r>
      <w:r w:rsidRPr="00282816">
        <w:rPr>
          <w:rFonts w:ascii="Arial" w:eastAsia="Arial" w:hAnsi="Arial" w:cs="Arial"/>
          <w:color w:val="000000" w:themeColor="text1"/>
        </w:rPr>
        <w:t xml:space="preserve"> Institución Prestadora de Servicios de Salud. Corresponde a hospitales, clínicas, centros médicos, laboratorios, unidades ambulatorias, servicios farmacéuticos y demás instituciones habilitadas para prestar servicios de salud.</w:t>
      </w:r>
    </w:p>
    <w:p w14:paraId="1F5FB2E0"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IVS:</w:t>
      </w:r>
      <w:r w:rsidRPr="00282816">
        <w:rPr>
          <w:rFonts w:ascii="Arial" w:eastAsia="Arial" w:hAnsi="Arial" w:cs="Arial"/>
          <w:color w:val="000000" w:themeColor="text1"/>
        </w:rPr>
        <w:t xml:space="preserve"> Inspección, Vigilancia y Seguimiento. Conjunto de acciones adelantadas por la entidad territorial para verificar el cumplimiento de obligaciones de las EPS, identificar riesgos, requerir información, realizar seguimiento y orientar medidas correctivas.</w:t>
      </w:r>
    </w:p>
    <w:p w14:paraId="355E0BED"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Lista 6/67 OPS/CIE-10:</w:t>
      </w:r>
      <w:r w:rsidRPr="00282816">
        <w:rPr>
          <w:rFonts w:ascii="Arial" w:eastAsia="Arial" w:hAnsi="Arial" w:cs="Arial"/>
          <w:color w:val="000000" w:themeColor="text1"/>
        </w:rPr>
        <w:t xml:space="preserve"> Lista de causas agrupadas basada en CIE-10, utilizada para clasificar causas básicas de defunción en estadísticas vitales. Los códigos que anteceden las causas no son porcentajes ni tasas, sino identificadores técnicos del grupo de causa de muerte.</w:t>
      </w:r>
    </w:p>
    <w:p w14:paraId="73FC40B0"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Medicamento pendiente:</w:t>
      </w:r>
      <w:r w:rsidRPr="00282816">
        <w:rPr>
          <w:rFonts w:ascii="Arial" w:eastAsia="Arial" w:hAnsi="Arial" w:cs="Arial"/>
          <w:color w:val="000000" w:themeColor="text1"/>
        </w:rPr>
        <w:t xml:space="preserve"> Medicamento formulado que no fue entregado en el momento inicial de la dispensación y queda sujeto a entrega posterior, gestión logística, abastecimiento o resolución administrativa.</w:t>
      </w:r>
    </w:p>
    <w:p w14:paraId="2F4A859E"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Medicamento pendiente sin entrega efectiva:</w:t>
      </w:r>
      <w:r w:rsidRPr="00282816">
        <w:rPr>
          <w:rFonts w:ascii="Arial" w:eastAsia="Arial" w:hAnsi="Arial" w:cs="Arial"/>
          <w:color w:val="000000" w:themeColor="text1"/>
        </w:rPr>
        <w:t xml:space="preserve"> Medicamento que, habiendo sido registrado como pendiente, no cuenta con evidencia de entrega al usuario a la fecha de corte del reporte. Representa un riesgo directo para la continuidad terapéutica.</w:t>
      </w:r>
    </w:p>
    <w:p w14:paraId="58F4C49B"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lastRenderedPageBreak/>
        <w:t>Mortalidad infantil:</w:t>
      </w:r>
      <w:r w:rsidRPr="00282816">
        <w:rPr>
          <w:rFonts w:ascii="Arial" w:eastAsia="Arial" w:hAnsi="Arial" w:cs="Arial"/>
          <w:color w:val="000000" w:themeColor="text1"/>
        </w:rPr>
        <w:t xml:space="preserve"> Defunción ocurrida en menores de un año. Se expresa generalmente como tasa por cada 1.000 nacidos vivos y constituye un indicador sensible de condiciones materno-perinatales, atención neonatal, seguimiento en primera infancia y determinantes sociales en salud.</w:t>
      </w:r>
    </w:p>
    <w:p w14:paraId="41274FB7"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Mortalidad materna:</w:t>
      </w:r>
      <w:r w:rsidRPr="00282816">
        <w:rPr>
          <w:rFonts w:ascii="Arial" w:eastAsia="Arial" w:hAnsi="Arial" w:cs="Arial"/>
          <w:color w:val="000000" w:themeColor="text1"/>
        </w:rPr>
        <w:t xml:space="preserve"> Muerte de una mujer durante el embarazo, parto o dentro de los 42 días posteriores a la terminación de la gestación, por causas relacionadas o agravadas por el embarazo o su manejo. Es un evento trazador de la calidad y oportunidad de la atención materno-perinatal.</w:t>
      </w:r>
    </w:p>
    <w:p w14:paraId="1C29FE6B"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Nacido vivo:</w:t>
      </w:r>
      <w:r w:rsidRPr="00282816">
        <w:rPr>
          <w:rFonts w:ascii="Arial" w:eastAsia="Arial" w:hAnsi="Arial" w:cs="Arial"/>
          <w:color w:val="000000" w:themeColor="text1"/>
        </w:rPr>
        <w:t xml:space="preserve"> Producto de la concepción que, al ser expulsado o extraído del cuerpo de la madre, presenta signos de vida, independientemente de la edad gestacional. Es el denominador utilizado para calcular indicadores como mortalidad materna e infantil.</w:t>
      </w:r>
    </w:p>
    <w:p w14:paraId="121207AB"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Oportunidad:</w:t>
      </w:r>
      <w:r w:rsidRPr="00282816">
        <w:rPr>
          <w:rFonts w:ascii="Arial" w:eastAsia="Arial" w:hAnsi="Arial" w:cs="Arial"/>
          <w:color w:val="000000" w:themeColor="text1"/>
        </w:rPr>
        <w:t xml:space="preserve"> Condición mediante la cual el usuario recibe la atención, respuesta, medicamento, autorización, traslado o servicio requerido dentro del tiempo clínico, administrativo o normativo establecido.</w:t>
      </w:r>
    </w:p>
    <w:p w14:paraId="58BCF8D2"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PAI:</w:t>
      </w:r>
      <w:r w:rsidRPr="00282816">
        <w:rPr>
          <w:rFonts w:ascii="Arial" w:eastAsia="Arial" w:hAnsi="Arial" w:cs="Arial"/>
          <w:color w:val="000000" w:themeColor="text1"/>
        </w:rPr>
        <w:t xml:space="preserve"> Programa Ampliado de Inmunizaciones. Estrategia de salud pública orientada a garantizar vacunación gratuita, universal y oportuna para prevenir enfermedades inmunoprevenibles en la población.</w:t>
      </w:r>
    </w:p>
    <w:p w14:paraId="64A277FD"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Pasivo:</w:t>
      </w:r>
      <w:r w:rsidRPr="00282816">
        <w:rPr>
          <w:rFonts w:ascii="Arial" w:eastAsia="Arial" w:hAnsi="Arial" w:cs="Arial"/>
          <w:color w:val="000000" w:themeColor="text1"/>
        </w:rPr>
        <w:t xml:space="preserve"> Obligación presente de una entidad derivada de hechos pasados, cuyo pago o liquidación implicará salida de recursos. En una EPS incluye cuentas por pagar a proveedores, obligaciones administrativas, beneficios a empleados, provisiones y otros pasivos.</w:t>
      </w:r>
    </w:p>
    <w:p w14:paraId="47E20DBC"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Patrimonio:</w:t>
      </w:r>
      <w:r w:rsidRPr="00282816">
        <w:rPr>
          <w:rFonts w:ascii="Arial" w:eastAsia="Arial" w:hAnsi="Arial" w:cs="Arial"/>
          <w:color w:val="000000" w:themeColor="text1"/>
        </w:rPr>
        <w:t xml:space="preserve"> Valor residual de los activos una vez deducidos los pasivos. Representa el respaldo patrimonial de la entidad y su capacidad de absorber pérdidas, contingencias o variaciones financieras.</w:t>
      </w:r>
    </w:p>
    <w:p w14:paraId="4635C38E"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Patrimonio adecuado:</w:t>
      </w:r>
      <w:r w:rsidRPr="00282816">
        <w:rPr>
          <w:rFonts w:ascii="Arial" w:eastAsia="Arial" w:hAnsi="Arial" w:cs="Arial"/>
          <w:color w:val="000000" w:themeColor="text1"/>
        </w:rPr>
        <w:t xml:space="preserve"> Nivel mínimo de patrimonio que una EPS debe mantener para respaldar los riesgos derivados de su operación y garantizar condiciones de solvencia conforme a la normativa aplicable.</w:t>
      </w:r>
    </w:p>
    <w:p w14:paraId="179C0BC2"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PBS:</w:t>
      </w:r>
      <w:r w:rsidRPr="00282816">
        <w:rPr>
          <w:rFonts w:ascii="Arial" w:eastAsia="Arial" w:hAnsi="Arial" w:cs="Arial"/>
          <w:color w:val="000000" w:themeColor="text1"/>
        </w:rPr>
        <w:t xml:space="preserve"> Plan de Beneficios en Salud. Conjunto de tecnologías, servicios, medicamentos, procedimientos e intervenciones a los que tienen derecho los afiliados al Sistema General de Seguridad Social en Salud.</w:t>
      </w:r>
    </w:p>
    <w:p w14:paraId="587BDDE7"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lastRenderedPageBreak/>
        <w:t>Plan de mejoramiento:</w:t>
      </w:r>
      <w:r w:rsidRPr="00282816">
        <w:rPr>
          <w:rFonts w:ascii="Arial" w:eastAsia="Arial" w:hAnsi="Arial" w:cs="Arial"/>
          <w:color w:val="000000" w:themeColor="text1"/>
        </w:rPr>
        <w:t xml:space="preserve"> Conjunto de acciones correctivas, preventivas y de seguimiento formuladas para subsanar hallazgos de auditoría, cerrar brechas, definir responsables, establecer tiempos de ejecución y demostrar avances verificables.</w:t>
      </w:r>
    </w:p>
    <w:p w14:paraId="22FCCB40"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PQRSD:</w:t>
      </w:r>
      <w:r w:rsidRPr="00282816">
        <w:rPr>
          <w:rFonts w:ascii="Arial" w:eastAsia="Arial" w:hAnsi="Arial" w:cs="Arial"/>
          <w:color w:val="000000" w:themeColor="text1"/>
        </w:rPr>
        <w:t xml:space="preserve"> Peticiones, Quejas, Reclamos, Sugerencias y Denuncias. Manifestaciones ciudadanas utilizadas para identificar barreras de acceso, fallas de oportunidad, inconformidades, riesgos en la atención y necesidades de respuesta institucional.</w:t>
      </w:r>
    </w:p>
    <w:p w14:paraId="570E120B"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Prestador de servicios de salud:</w:t>
      </w:r>
      <w:r w:rsidRPr="00282816">
        <w:rPr>
          <w:rFonts w:ascii="Arial" w:eastAsia="Arial" w:hAnsi="Arial" w:cs="Arial"/>
          <w:color w:val="000000" w:themeColor="text1"/>
        </w:rPr>
        <w:t xml:space="preserve"> Persona jurídica o natural habilitada para prestar servicios de salud. Puede ser una IPS pública, privada o mixta, y hace parte de la red contratada o disponible para la atención de los afiliados.</w:t>
      </w:r>
    </w:p>
    <w:p w14:paraId="51D707E3"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Provisión:</w:t>
      </w:r>
      <w:r w:rsidRPr="00282816">
        <w:rPr>
          <w:rFonts w:ascii="Arial" w:eastAsia="Arial" w:hAnsi="Arial" w:cs="Arial"/>
          <w:color w:val="000000" w:themeColor="text1"/>
        </w:rPr>
        <w:t xml:space="preserve"> Reconocimiento contable de una obligación probable o contingencia cuya cuantía o fecha de pago puede ser incierta. En una EPS puede estar asociada a obligaciones en salud, litigios, glosas, cuentas por pagar u otros riesgos.</w:t>
      </w:r>
    </w:p>
    <w:p w14:paraId="41566BC7"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Razón de Mortalidad Materna —RMM—:</w:t>
      </w:r>
      <w:r w:rsidRPr="00282816">
        <w:rPr>
          <w:rFonts w:ascii="Arial" w:eastAsia="Arial" w:hAnsi="Arial" w:cs="Arial"/>
          <w:color w:val="000000" w:themeColor="text1"/>
        </w:rPr>
        <w:t xml:space="preserve"> Indicador que relaciona el número de muertes maternas ocurridas durante el embarazo, parto o dentro de los 42 días siguientes a la terminación de la gestación, frente al número de nacidos vivos en el mismo periodo, expresado por cada 100.000 nacidos vivos.</w:t>
      </w:r>
    </w:p>
    <w:p w14:paraId="2B7182BE"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Red contratada:</w:t>
      </w:r>
      <w:r w:rsidRPr="00282816">
        <w:rPr>
          <w:rFonts w:ascii="Arial" w:eastAsia="Arial" w:hAnsi="Arial" w:cs="Arial"/>
          <w:color w:val="000000" w:themeColor="text1"/>
        </w:rPr>
        <w:t xml:space="preserve"> Conjunto de prestadores con los cuales la EPS tiene acuerdos o contratos para garantizar la atención de su población afiliada.</w:t>
      </w:r>
    </w:p>
    <w:p w14:paraId="3CB17782"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Red no contratada:</w:t>
      </w:r>
      <w:r w:rsidRPr="00282816">
        <w:rPr>
          <w:rFonts w:ascii="Arial" w:eastAsia="Arial" w:hAnsi="Arial" w:cs="Arial"/>
          <w:color w:val="000000" w:themeColor="text1"/>
        </w:rPr>
        <w:t xml:space="preserve"> Prestadores que no hacen parte de la red formal contratada por la EPS, pero que pueden intervenir en la atención de usuarios por urgencias, remisiones, disponibilidad de servicios, continuidad asistencial u otras circunstancias.</w:t>
      </w:r>
    </w:p>
    <w:p w14:paraId="7F4290D0"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Red prestadora de servicios de salud:</w:t>
      </w:r>
      <w:r w:rsidRPr="00282816">
        <w:rPr>
          <w:rFonts w:ascii="Arial" w:eastAsia="Arial" w:hAnsi="Arial" w:cs="Arial"/>
          <w:color w:val="000000" w:themeColor="text1"/>
        </w:rPr>
        <w:t xml:space="preserve"> Conjunto organizado y articulado de IPS, profesionales, servicios farmacéuticos, laboratorios, centros diagnósticos y demás prestadores disponibles para garantizar la atención integral de la población afiliada.</w:t>
      </w:r>
    </w:p>
    <w:p w14:paraId="37BA6C8E"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Referencia y contrarreferencia:</w:t>
      </w:r>
      <w:r w:rsidRPr="00282816">
        <w:rPr>
          <w:rFonts w:ascii="Arial" w:eastAsia="Arial" w:hAnsi="Arial" w:cs="Arial"/>
          <w:color w:val="000000" w:themeColor="text1"/>
        </w:rPr>
        <w:t xml:space="preserve"> Proceso mediante el cual un usuario es remitido de un nivel de atención a otro según su condición clínica, y posteriormente </w:t>
      </w:r>
      <w:r w:rsidRPr="00282816">
        <w:rPr>
          <w:rFonts w:ascii="Arial" w:eastAsia="Arial" w:hAnsi="Arial" w:cs="Arial"/>
          <w:color w:val="000000" w:themeColor="text1"/>
        </w:rPr>
        <w:lastRenderedPageBreak/>
        <w:t>se garantiza el retorno de información y continuidad del manejo entre prestadores.</w:t>
      </w:r>
    </w:p>
    <w:p w14:paraId="05E35A22"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Régimen contributivo:</w:t>
      </w:r>
      <w:r w:rsidRPr="00282816">
        <w:rPr>
          <w:rFonts w:ascii="Arial" w:eastAsia="Arial" w:hAnsi="Arial" w:cs="Arial"/>
          <w:color w:val="000000" w:themeColor="text1"/>
        </w:rPr>
        <w:t xml:space="preserve"> Régimen del Sistema General de Seguridad Social en Salud al que pertenecen personas con capacidad de pago, trabajadores dependientes, independientes, pensionados y sus beneficiarios.</w:t>
      </w:r>
    </w:p>
    <w:p w14:paraId="7E0575F5"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Régimen subsidiado:</w:t>
      </w:r>
      <w:r w:rsidRPr="00282816">
        <w:rPr>
          <w:rFonts w:ascii="Arial" w:eastAsia="Arial" w:hAnsi="Arial" w:cs="Arial"/>
          <w:color w:val="000000" w:themeColor="text1"/>
        </w:rPr>
        <w:t xml:space="preserve"> Régimen dirigido a población sin capacidad de pago o en condiciones de vulnerabilidad, financiado con recursos públicos y orientado a garantizar el acceso al sistema de salud.</w:t>
      </w:r>
    </w:p>
    <w:p w14:paraId="328B2D45"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Resolutividad:</w:t>
      </w:r>
      <w:r w:rsidRPr="00282816">
        <w:rPr>
          <w:rFonts w:ascii="Arial" w:eastAsia="Arial" w:hAnsi="Arial" w:cs="Arial"/>
          <w:color w:val="000000" w:themeColor="text1"/>
        </w:rPr>
        <w:t xml:space="preserve"> Capacidad de la EPS y su red prestadora para solucionar efectivamente las necesidades de salud del usuario, evitando trámites innecesarios, reprocesos, remisiones injustificadas, demoras o interrupciones en la atención.</w:t>
      </w:r>
    </w:p>
    <w:p w14:paraId="20546DE2"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RIA:</w:t>
      </w:r>
      <w:r w:rsidRPr="00282816">
        <w:rPr>
          <w:rFonts w:ascii="Arial" w:eastAsia="Arial" w:hAnsi="Arial" w:cs="Arial"/>
          <w:color w:val="000000" w:themeColor="text1"/>
        </w:rPr>
        <w:t xml:space="preserve"> Ruta Integral de Atención en Salud. Instrumento que organiza intervenciones individuales y colectivas para garantizar atención integral según riesgos, curso de vida, eventos o condiciones priorizadas.</w:t>
      </w:r>
    </w:p>
    <w:p w14:paraId="62084B52"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Ruta Integral de Atención Materno Perinatal:</w:t>
      </w:r>
      <w:r w:rsidRPr="00282816">
        <w:rPr>
          <w:rFonts w:ascii="Arial" w:eastAsia="Arial" w:hAnsi="Arial" w:cs="Arial"/>
          <w:color w:val="000000" w:themeColor="text1"/>
        </w:rPr>
        <w:t xml:space="preserve"> Ruta que organiza las intervenciones para mujeres en edad fértil, gestantes, puérperas y recién nacidos, incluyendo control prenatal, atención del parto, puerperio, vacunación, exámenes, micronutrientes, clasificación de riesgo y seguimiento del recién nacido.</w:t>
      </w:r>
    </w:p>
    <w:p w14:paraId="733E68EB"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RUAF-ND:</w:t>
      </w:r>
      <w:r w:rsidRPr="00282816">
        <w:rPr>
          <w:rFonts w:ascii="Arial" w:eastAsia="Arial" w:hAnsi="Arial" w:cs="Arial"/>
          <w:color w:val="000000" w:themeColor="text1"/>
        </w:rPr>
        <w:t xml:space="preserve"> Registro Único de Afiliados - Nacimientos y Defunciones. Sistema utilizado para el registro de nacimientos y defunciones, empleado en el análisis de estadísticas vitales y eventos de mortalidad.</w:t>
      </w:r>
    </w:p>
    <w:p w14:paraId="3C4C014C"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Servicio farmacéutico:</w:t>
      </w:r>
      <w:r w:rsidRPr="00282816">
        <w:rPr>
          <w:rFonts w:ascii="Arial" w:eastAsia="Arial" w:hAnsi="Arial" w:cs="Arial"/>
          <w:color w:val="000000" w:themeColor="text1"/>
        </w:rPr>
        <w:t xml:space="preserve"> Servicio responsable de la gestión, almacenamiento, distribución, dispensación, seguimiento y uso adecuado de medicamentos y tecnologías farmacéuticas.</w:t>
      </w:r>
    </w:p>
    <w:p w14:paraId="4ADA9940"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SIDMA:</w:t>
      </w:r>
      <w:r w:rsidRPr="00282816">
        <w:rPr>
          <w:rFonts w:ascii="Arial" w:eastAsia="Arial" w:hAnsi="Arial" w:cs="Arial"/>
          <w:color w:val="000000" w:themeColor="text1"/>
        </w:rPr>
        <w:t xml:space="preserve"> Sistema de Información para el Monitoreo del Acceso. Herramienta utilizada para el seguimiento de barreras de acceso, manifestaciones ciudadanas y gestión de casos relacionados con la garantía del derecho a la salud.</w:t>
      </w:r>
    </w:p>
    <w:p w14:paraId="3F360185"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lastRenderedPageBreak/>
        <w:t>Siniestralidad:</w:t>
      </w:r>
      <w:r w:rsidRPr="00282816">
        <w:rPr>
          <w:rFonts w:ascii="Arial" w:eastAsia="Arial" w:hAnsi="Arial" w:cs="Arial"/>
          <w:color w:val="000000" w:themeColor="text1"/>
        </w:rPr>
        <w:t xml:space="preserve"> Indicador que relaciona el costo de los servicios y tecnologías en salud reconocidos o prestados frente a los ingresos recibidos por UPC. Una siniestralidad superior al 100% indica que el gasto asistencial supera los ingresos reconocidos para cubrir la atención.</w:t>
      </w:r>
    </w:p>
    <w:p w14:paraId="15E519EB"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SISS:</w:t>
      </w:r>
      <w:r w:rsidRPr="00282816">
        <w:rPr>
          <w:rFonts w:ascii="Arial" w:eastAsia="Arial" w:hAnsi="Arial" w:cs="Arial"/>
          <w:color w:val="000000" w:themeColor="text1"/>
        </w:rPr>
        <w:t xml:space="preserve"> Subred Integrada de Servicios de Salud. Organización pública distrital que agrupa unidades de prestación de servicios de salud en Bogotá, articuladas territorialmente para prestar atención integral.</w:t>
      </w:r>
    </w:p>
    <w:p w14:paraId="1120149B"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SIVIGILA:</w:t>
      </w:r>
      <w:r w:rsidRPr="00282816">
        <w:rPr>
          <w:rFonts w:ascii="Arial" w:eastAsia="Arial" w:hAnsi="Arial" w:cs="Arial"/>
          <w:color w:val="000000" w:themeColor="text1"/>
        </w:rPr>
        <w:t xml:space="preserve"> Sistema Nacional de Vigilancia en Salud Pública. Permite la notificación, análisis y seguimiento de eventos de interés en salud pública, incluyendo mortalidad materna, eventos perinatales y enfermedades inmunoprevenibles.</w:t>
      </w:r>
    </w:p>
    <w:p w14:paraId="16C335AF"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Suficiencia de red:</w:t>
      </w:r>
      <w:r w:rsidRPr="00282816">
        <w:rPr>
          <w:rFonts w:ascii="Arial" w:eastAsia="Arial" w:hAnsi="Arial" w:cs="Arial"/>
          <w:color w:val="000000" w:themeColor="text1"/>
        </w:rPr>
        <w:t xml:space="preserve"> Capacidad de la red prestadora para responder de forma oportuna, accesible, continua, integral y resolutiva a las necesidades de la población afiliada, considerando volumen poblacional, perfil epidemiológico, distribución territorial y demanda de servicios.</w:t>
      </w:r>
    </w:p>
    <w:p w14:paraId="59EF36F7"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Supersalud:</w:t>
      </w:r>
      <w:r w:rsidRPr="00282816">
        <w:rPr>
          <w:rFonts w:ascii="Arial" w:eastAsia="Arial" w:hAnsi="Arial" w:cs="Arial"/>
          <w:color w:val="000000" w:themeColor="text1"/>
        </w:rPr>
        <w:t xml:space="preserve"> Superintendencia Nacional de Salud. Autoridad nacional de inspección, vigilancia y control del Sistema General de Seguridad Social en Salud.</w:t>
      </w:r>
    </w:p>
    <w:p w14:paraId="491C8B01"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Tasa:</w:t>
      </w:r>
      <w:r w:rsidRPr="00282816">
        <w:rPr>
          <w:rFonts w:ascii="Arial" w:eastAsia="Arial" w:hAnsi="Arial" w:cs="Arial"/>
          <w:color w:val="000000" w:themeColor="text1"/>
        </w:rPr>
        <w:t xml:space="preserve"> Medida epidemiológica que relaciona la ocurrencia de un evento con una población de referencia durante un periodo determinado. En el informe se utiliza para analizar reclamos, mortalidad infantil y otros eventos.</w:t>
      </w:r>
    </w:p>
    <w:p w14:paraId="670D8711"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Tecnologías en salud:</w:t>
      </w:r>
      <w:r w:rsidRPr="00282816">
        <w:rPr>
          <w:rFonts w:ascii="Arial" w:eastAsia="Arial" w:hAnsi="Arial" w:cs="Arial"/>
          <w:color w:val="000000" w:themeColor="text1"/>
        </w:rPr>
        <w:t xml:space="preserve"> Servicios, medicamentos, procedimientos, dispositivos médicos, pruebas diagnósticas, insumos y demás intervenciones requeridas para la promoción, prevención, diagnóstico, tratamiento, rehabilitación o paliación.</w:t>
      </w:r>
    </w:p>
    <w:p w14:paraId="0D0391FD"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Triple viral:</w:t>
      </w:r>
      <w:r w:rsidRPr="00282816">
        <w:rPr>
          <w:rFonts w:ascii="Arial" w:eastAsia="Arial" w:hAnsi="Arial" w:cs="Arial"/>
          <w:color w:val="000000" w:themeColor="text1"/>
        </w:rPr>
        <w:t xml:space="preserve"> Vacuna que protege contra sarampión, rubéola y parotiditis. En el informe se analiza como parte de los biológicos trazadores del Programa Ampliado de Inmunizaciones.</w:t>
      </w:r>
    </w:p>
    <w:p w14:paraId="5D043F38"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UPC:</w:t>
      </w:r>
      <w:r w:rsidRPr="00282816">
        <w:rPr>
          <w:rFonts w:ascii="Arial" w:eastAsia="Arial" w:hAnsi="Arial" w:cs="Arial"/>
          <w:color w:val="000000" w:themeColor="text1"/>
        </w:rPr>
        <w:t xml:space="preserve"> Unidad de Pago por Capitación. Valor anual reconocido por el sistema a las EPS por cada afiliado, destinado a financiar las tecnologías y servicios incluidos en el Plan de Beneficios en Salud.</w:t>
      </w:r>
    </w:p>
    <w:p w14:paraId="06FA3CE9"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lastRenderedPageBreak/>
        <w:t>Vacunación trazadora:</w:t>
      </w:r>
      <w:r w:rsidRPr="00282816">
        <w:rPr>
          <w:rFonts w:ascii="Arial" w:eastAsia="Arial" w:hAnsi="Arial" w:cs="Arial"/>
          <w:color w:val="000000" w:themeColor="text1"/>
        </w:rPr>
        <w:t xml:space="preserve"> Conjunto de biológicos utilizados como referencia para evaluar el desempeño del Programa Ampliado de Inmunizaciones, el seguimiento de cohortes y el cumplimiento de metas de cobertura.</w:t>
      </w:r>
    </w:p>
    <w:p w14:paraId="48FF69E5"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VPH:</w:t>
      </w:r>
      <w:r w:rsidRPr="00282816">
        <w:rPr>
          <w:rFonts w:ascii="Arial" w:eastAsia="Arial" w:hAnsi="Arial" w:cs="Arial"/>
          <w:color w:val="000000" w:themeColor="text1"/>
        </w:rPr>
        <w:t xml:space="preserve"> Virus del Papiloma Humano. Virus asociado a diferentes enfermedades, incluido el cáncer de cuello uterino. La vacunación contra VPH constituye una estrategia de prevención primaria dirigida a población priorizada.</w:t>
      </w:r>
    </w:p>
    <w:p w14:paraId="098E5953" w14:textId="77777777" w:rsidR="00282816" w:rsidRPr="00282816" w:rsidRDefault="00282816" w:rsidP="005B2285">
      <w:pPr>
        <w:spacing w:line="360" w:lineRule="auto"/>
        <w:ind w:left="709" w:hanging="709"/>
        <w:jc w:val="both"/>
        <w:rPr>
          <w:rFonts w:ascii="Arial" w:eastAsia="Arial" w:hAnsi="Arial" w:cs="Arial"/>
          <w:color w:val="000000" w:themeColor="text1"/>
        </w:rPr>
      </w:pPr>
      <w:r w:rsidRPr="00282816">
        <w:rPr>
          <w:rFonts w:ascii="Arial" w:eastAsia="Arial" w:hAnsi="Arial" w:cs="Arial"/>
          <w:b/>
          <w:bCs/>
          <w:color w:val="000000" w:themeColor="text1"/>
        </w:rPr>
        <w:t>Vulnerabilidad en salud:</w:t>
      </w:r>
      <w:r w:rsidRPr="00282816">
        <w:rPr>
          <w:rFonts w:ascii="Arial" w:eastAsia="Arial" w:hAnsi="Arial" w:cs="Arial"/>
          <w:color w:val="000000" w:themeColor="text1"/>
        </w:rPr>
        <w:t xml:space="preserve"> Condición individual o colectiva que incrementa el riesgo de presentar barreras de acceso, enfermedad, complicaciones o desenlaces adversos, asociada a factores sociales, económicos, territoriales, clínicos o administrativos.</w:t>
      </w:r>
    </w:p>
    <w:p w14:paraId="64E2C1CA" w14:textId="77777777" w:rsidR="00282816" w:rsidRDefault="00282816" w:rsidP="005B2285">
      <w:pPr>
        <w:spacing w:line="360" w:lineRule="auto"/>
        <w:rPr>
          <w:rFonts w:ascii="Arial" w:eastAsia="Arial" w:hAnsi="Arial" w:cs="Arial"/>
          <w:color w:val="000000" w:themeColor="text1"/>
        </w:rPr>
      </w:pPr>
    </w:p>
    <w:p w14:paraId="59ACF102" w14:textId="1A728BE3" w:rsidR="00AA4A03" w:rsidRDefault="00AA4A03" w:rsidP="005B2285">
      <w:pPr>
        <w:pStyle w:val="Ttulo1"/>
        <w:numPr>
          <w:ilvl w:val="0"/>
          <w:numId w:val="7"/>
        </w:numPr>
        <w:spacing w:before="0" w:line="360" w:lineRule="auto"/>
        <w:jc w:val="both"/>
        <w:rPr>
          <w:rStyle w:val="eop"/>
          <w:rFonts w:ascii="Arial" w:hAnsi="Arial" w:cs="Arial"/>
          <w:b/>
          <w:bCs/>
          <w:color w:val="000000" w:themeColor="text1"/>
          <w:sz w:val="24"/>
          <w:szCs w:val="24"/>
        </w:rPr>
      </w:pPr>
      <w:bookmarkStart w:id="125" w:name="_Toc233574860"/>
      <w:r w:rsidRPr="00AA4A03">
        <w:rPr>
          <w:rStyle w:val="eop"/>
          <w:rFonts w:ascii="Arial" w:hAnsi="Arial" w:cs="Arial"/>
          <w:b/>
          <w:bCs/>
          <w:color w:val="000000" w:themeColor="text1"/>
          <w:sz w:val="24"/>
          <w:szCs w:val="24"/>
        </w:rPr>
        <w:t>BIBLIOGRAFÍA</w:t>
      </w:r>
      <w:bookmarkEnd w:id="125"/>
    </w:p>
    <w:p w14:paraId="78737895" w14:textId="77777777" w:rsidR="00AA4A03" w:rsidRPr="00AA4A03" w:rsidRDefault="00AA4A03" w:rsidP="005B2285">
      <w:pPr>
        <w:spacing w:line="360" w:lineRule="auto"/>
      </w:pPr>
    </w:p>
    <w:p w14:paraId="5AA6CE2A"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Administradora de los Recursos del Sistema General de Seguridad Social en Salud. (2025). </w:t>
      </w:r>
      <w:r w:rsidRPr="00AA4A03">
        <w:rPr>
          <w:rFonts w:ascii="Arial" w:eastAsia="Arial" w:hAnsi="Arial" w:cs="Arial"/>
          <w:i/>
          <w:iCs/>
          <w:color w:val="000000" w:themeColor="text1"/>
        </w:rPr>
        <w:t>Base de Datos Única de Afiliados (BDUA): Consulta de afiliados, corte 31 de diciembre de 2025</w:t>
      </w:r>
      <w:r w:rsidRPr="00AA4A03">
        <w:rPr>
          <w:rFonts w:ascii="Arial" w:eastAsia="Arial" w:hAnsi="Arial" w:cs="Arial"/>
          <w:color w:val="000000" w:themeColor="text1"/>
        </w:rPr>
        <w:t xml:space="preserve">. </w:t>
      </w:r>
      <w:hyperlink r:id="rId30" w:history="1">
        <w:r w:rsidRPr="00AA4A03">
          <w:rPr>
            <w:rStyle w:val="Hipervnculo"/>
            <w:rFonts w:ascii="Arial" w:eastAsia="Arial" w:hAnsi="Arial" w:cs="Arial"/>
          </w:rPr>
          <w:t>https://servicios.adres.gov.co/BDUA/Consulta-Afiliados-BDUA</w:t>
        </w:r>
      </w:hyperlink>
    </w:p>
    <w:p w14:paraId="4C400570"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Capital Salud EPS-S. (2026). </w:t>
      </w:r>
      <w:r w:rsidRPr="00AA4A03">
        <w:rPr>
          <w:rFonts w:ascii="Arial" w:eastAsia="Arial" w:hAnsi="Arial" w:cs="Arial"/>
          <w:i/>
          <w:iCs/>
          <w:color w:val="000000" w:themeColor="text1"/>
        </w:rPr>
        <w:t>Respuesta al requerimiento No. 026-EE-54444 de la Subdirección de Garantía del Aseguramiento: Información de red prestadora por georreferenciación y servicio farmacéutico</w:t>
      </w:r>
      <w:r w:rsidRPr="00AA4A03">
        <w:rPr>
          <w:rFonts w:ascii="Arial" w:eastAsia="Arial" w:hAnsi="Arial" w:cs="Arial"/>
          <w:color w:val="000000" w:themeColor="text1"/>
        </w:rPr>
        <w:t>. Documento interno no publicado.</w:t>
      </w:r>
    </w:p>
    <w:p w14:paraId="4F1D6DE8"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Congreso de la República de Colombia. (1993, 23 de diciembre). </w:t>
      </w:r>
      <w:r w:rsidRPr="00AA4A03">
        <w:rPr>
          <w:rFonts w:ascii="Arial" w:eastAsia="Arial" w:hAnsi="Arial" w:cs="Arial"/>
          <w:i/>
          <w:iCs/>
          <w:color w:val="000000" w:themeColor="text1"/>
        </w:rPr>
        <w:t>Ley 100 de 1993: Por la cual se crea el Sistema de Seguridad Social Integral y se dictan otras disposiciones</w:t>
      </w:r>
      <w:r w:rsidRPr="00AA4A03">
        <w:rPr>
          <w:rFonts w:ascii="Arial" w:eastAsia="Arial" w:hAnsi="Arial" w:cs="Arial"/>
          <w:color w:val="000000" w:themeColor="text1"/>
        </w:rPr>
        <w:t xml:space="preserve">. </w:t>
      </w:r>
      <w:hyperlink r:id="rId31" w:history="1">
        <w:r w:rsidRPr="00AA4A03">
          <w:rPr>
            <w:rStyle w:val="Hipervnculo"/>
            <w:rFonts w:ascii="Arial" w:eastAsia="Arial" w:hAnsi="Arial" w:cs="Arial"/>
          </w:rPr>
          <w:t>https://www.secretariasenado.gov.co/senado/basedoc/ley_0100_1993.html</w:t>
        </w:r>
      </w:hyperlink>
    </w:p>
    <w:p w14:paraId="370E3D6A"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Congreso de la República de Colombia. (2001, 21 de diciembre). </w:t>
      </w:r>
      <w:r w:rsidRPr="00AA4A03">
        <w:rPr>
          <w:rFonts w:ascii="Arial" w:eastAsia="Arial" w:hAnsi="Arial" w:cs="Arial"/>
          <w:i/>
          <w:iCs/>
          <w:color w:val="000000" w:themeColor="text1"/>
        </w:rPr>
        <w:t>Ley 715 de 2001: Por la cual se dictan normas orgánicas en materia de recursos y competencias</w:t>
      </w:r>
      <w:r w:rsidRPr="00AA4A03">
        <w:rPr>
          <w:rFonts w:ascii="Arial" w:eastAsia="Arial" w:hAnsi="Arial" w:cs="Arial"/>
          <w:color w:val="000000" w:themeColor="text1"/>
        </w:rPr>
        <w:t xml:space="preserve">. </w:t>
      </w:r>
      <w:hyperlink r:id="rId32" w:history="1">
        <w:r w:rsidRPr="00AA4A03">
          <w:rPr>
            <w:rStyle w:val="Hipervnculo"/>
            <w:rFonts w:ascii="Arial" w:eastAsia="Arial" w:hAnsi="Arial" w:cs="Arial"/>
          </w:rPr>
          <w:t>https://www.secretariasenado.gov.co/senado/basedoc/ley_0715_2001.html</w:t>
        </w:r>
      </w:hyperlink>
    </w:p>
    <w:p w14:paraId="3856E712"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Congreso de la República de Colombia. (2007, 9 de enero). </w:t>
      </w:r>
      <w:r w:rsidRPr="00AA4A03">
        <w:rPr>
          <w:rFonts w:ascii="Arial" w:eastAsia="Arial" w:hAnsi="Arial" w:cs="Arial"/>
          <w:i/>
          <w:iCs/>
          <w:color w:val="000000" w:themeColor="text1"/>
        </w:rPr>
        <w:t xml:space="preserve">Ley 1122 de 2007: Por la cual se hacen algunas modificaciones en el Sistema General de Seguridad </w:t>
      </w:r>
      <w:r w:rsidRPr="00AA4A03">
        <w:rPr>
          <w:rFonts w:ascii="Arial" w:eastAsia="Arial" w:hAnsi="Arial" w:cs="Arial"/>
          <w:i/>
          <w:iCs/>
          <w:color w:val="000000" w:themeColor="text1"/>
        </w:rPr>
        <w:lastRenderedPageBreak/>
        <w:t>Social en Salud y se dictan otras disposiciones</w:t>
      </w:r>
      <w:r w:rsidRPr="00AA4A03">
        <w:rPr>
          <w:rFonts w:ascii="Arial" w:eastAsia="Arial" w:hAnsi="Arial" w:cs="Arial"/>
          <w:color w:val="000000" w:themeColor="text1"/>
        </w:rPr>
        <w:t xml:space="preserve">. </w:t>
      </w:r>
      <w:hyperlink r:id="rId33" w:history="1">
        <w:r w:rsidRPr="00AA4A03">
          <w:rPr>
            <w:rStyle w:val="Hipervnculo"/>
            <w:rFonts w:ascii="Arial" w:eastAsia="Arial" w:hAnsi="Arial" w:cs="Arial"/>
          </w:rPr>
          <w:t>https://www.secretariasenado.gov.co/senado/basedoc/ley_1122_2007.html</w:t>
        </w:r>
      </w:hyperlink>
    </w:p>
    <w:p w14:paraId="78EB7607"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Congreso de la República de Colombia. (2011, 18 de enero). </w:t>
      </w:r>
      <w:r w:rsidRPr="00AA4A03">
        <w:rPr>
          <w:rFonts w:ascii="Arial" w:eastAsia="Arial" w:hAnsi="Arial" w:cs="Arial"/>
          <w:i/>
          <w:iCs/>
          <w:color w:val="000000" w:themeColor="text1"/>
        </w:rPr>
        <w:t>Ley 1437 de 2011: Por la cual se expide el Código de Procedimiento Administrativo y de lo Contencioso Administrativo</w:t>
      </w:r>
      <w:r w:rsidRPr="00AA4A03">
        <w:rPr>
          <w:rFonts w:ascii="Arial" w:eastAsia="Arial" w:hAnsi="Arial" w:cs="Arial"/>
          <w:color w:val="000000" w:themeColor="text1"/>
        </w:rPr>
        <w:t xml:space="preserve">. </w:t>
      </w:r>
      <w:hyperlink r:id="rId34" w:history="1">
        <w:r w:rsidRPr="00AA4A03">
          <w:rPr>
            <w:rStyle w:val="Hipervnculo"/>
            <w:rFonts w:ascii="Arial" w:eastAsia="Arial" w:hAnsi="Arial" w:cs="Arial"/>
          </w:rPr>
          <w:t>https://www.secretariasenado.gov.co/senado/basedoc/ley_1437_2011.html</w:t>
        </w:r>
      </w:hyperlink>
    </w:p>
    <w:p w14:paraId="7C1BD83C"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Congreso de la República de Colombia. (2011, 19 de enero). </w:t>
      </w:r>
      <w:r w:rsidRPr="00AA4A03">
        <w:rPr>
          <w:rFonts w:ascii="Arial" w:eastAsia="Arial" w:hAnsi="Arial" w:cs="Arial"/>
          <w:i/>
          <w:iCs/>
          <w:color w:val="000000" w:themeColor="text1"/>
        </w:rPr>
        <w:t>Ley 1438 de 2011: Por medio de la cual se reforma el Sistema General de Seguridad Social en Salud y se dictan otras disposiciones</w:t>
      </w:r>
      <w:r w:rsidRPr="00AA4A03">
        <w:rPr>
          <w:rFonts w:ascii="Arial" w:eastAsia="Arial" w:hAnsi="Arial" w:cs="Arial"/>
          <w:color w:val="000000" w:themeColor="text1"/>
        </w:rPr>
        <w:t xml:space="preserve">. </w:t>
      </w:r>
      <w:hyperlink r:id="rId35" w:history="1">
        <w:r w:rsidRPr="00AA4A03">
          <w:rPr>
            <w:rStyle w:val="Hipervnculo"/>
            <w:rFonts w:ascii="Arial" w:eastAsia="Arial" w:hAnsi="Arial" w:cs="Arial"/>
          </w:rPr>
          <w:t>https://www.secretariasenado.gov.co/senado/basedoc/ley_1438_2011.html</w:t>
        </w:r>
      </w:hyperlink>
    </w:p>
    <w:p w14:paraId="53437300"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Congreso de la República de Colombia. (2015, 16 de febrero). </w:t>
      </w:r>
      <w:r w:rsidRPr="00AA4A03">
        <w:rPr>
          <w:rFonts w:ascii="Arial" w:eastAsia="Arial" w:hAnsi="Arial" w:cs="Arial"/>
          <w:i/>
          <w:iCs/>
          <w:color w:val="000000" w:themeColor="text1"/>
        </w:rPr>
        <w:t>Ley Estatutaria 1751 de 2015: Por medio de la cual se regula el derecho fundamental a la salud y se dictan otras disposiciones</w:t>
      </w:r>
      <w:r w:rsidRPr="00AA4A03">
        <w:rPr>
          <w:rFonts w:ascii="Arial" w:eastAsia="Arial" w:hAnsi="Arial" w:cs="Arial"/>
          <w:color w:val="000000" w:themeColor="text1"/>
        </w:rPr>
        <w:t xml:space="preserve">. </w:t>
      </w:r>
      <w:hyperlink r:id="rId36" w:history="1">
        <w:r w:rsidRPr="00AA4A03">
          <w:rPr>
            <w:rStyle w:val="Hipervnculo"/>
            <w:rFonts w:ascii="Arial" w:eastAsia="Arial" w:hAnsi="Arial" w:cs="Arial"/>
          </w:rPr>
          <w:t>https://www.secretariasenado.gov.co/senado/basedoc/ley_1751_2015.html</w:t>
        </w:r>
      </w:hyperlink>
    </w:p>
    <w:p w14:paraId="5D9FB4EB"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Congreso de la República de Colombia. (2015, 30 de junio). </w:t>
      </w:r>
      <w:r w:rsidRPr="00AA4A03">
        <w:rPr>
          <w:rFonts w:ascii="Arial" w:eastAsia="Arial" w:hAnsi="Arial" w:cs="Arial"/>
          <w:i/>
          <w:iCs/>
          <w:color w:val="000000" w:themeColor="text1"/>
        </w:rPr>
        <w:t>Ley 1755 de 2015: Por medio de la cual se regula el derecho fundamental de petición y se sustituye un título del Código de Procedimiento Administrativo y de lo Contencioso Administrativo</w:t>
      </w:r>
      <w:r w:rsidRPr="00AA4A03">
        <w:rPr>
          <w:rFonts w:ascii="Arial" w:eastAsia="Arial" w:hAnsi="Arial" w:cs="Arial"/>
          <w:color w:val="000000" w:themeColor="text1"/>
        </w:rPr>
        <w:t xml:space="preserve">. </w:t>
      </w:r>
      <w:hyperlink r:id="rId37" w:history="1">
        <w:r w:rsidRPr="00AA4A03">
          <w:rPr>
            <w:rStyle w:val="Hipervnculo"/>
            <w:rFonts w:ascii="Arial" w:eastAsia="Arial" w:hAnsi="Arial" w:cs="Arial"/>
          </w:rPr>
          <w:t>https://www.secretariasenado.gov.co/senado/basedoc/ley_1755_2015.html</w:t>
        </w:r>
      </w:hyperlink>
    </w:p>
    <w:p w14:paraId="52EC871E"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Congreso de la República de Colombia. (2019, 8 de enero). </w:t>
      </w:r>
      <w:r w:rsidRPr="00AA4A03">
        <w:rPr>
          <w:rFonts w:ascii="Arial" w:eastAsia="Arial" w:hAnsi="Arial" w:cs="Arial"/>
          <w:i/>
          <w:iCs/>
          <w:color w:val="000000" w:themeColor="text1"/>
        </w:rPr>
        <w:t>Ley 1949 de 2019: Por la cual se adicionan y modifican algunos artículos de las leyes 1122 de 2007 y 1438 de 2011 y se dictan otras disposiciones</w:t>
      </w:r>
      <w:r w:rsidRPr="00AA4A03">
        <w:rPr>
          <w:rFonts w:ascii="Arial" w:eastAsia="Arial" w:hAnsi="Arial" w:cs="Arial"/>
          <w:color w:val="000000" w:themeColor="text1"/>
        </w:rPr>
        <w:t xml:space="preserve">. </w:t>
      </w:r>
      <w:hyperlink r:id="rId38" w:history="1">
        <w:r w:rsidRPr="00AA4A03">
          <w:rPr>
            <w:rStyle w:val="Hipervnculo"/>
            <w:rFonts w:ascii="Arial" w:eastAsia="Arial" w:hAnsi="Arial" w:cs="Arial"/>
          </w:rPr>
          <w:t>https://www.secretariasenado.gov.co/senado/basedoc/ley_1949_2019.html</w:t>
        </w:r>
      </w:hyperlink>
    </w:p>
    <w:p w14:paraId="57086B61"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Departamento Administrativo Nacional de Estadística. (2020). </w:t>
      </w:r>
      <w:r w:rsidRPr="00AA4A03">
        <w:rPr>
          <w:rFonts w:ascii="Arial" w:eastAsia="Arial" w:hAnsi="Arial" w:cs="Arial"/>
          <w:i/>
          <w:iCs/>
          <w:color w:val="000000" w:themeColor="text1"/>
        </w:rPr>
        <w:t>Homologación de causas de defunción agrupadas: Lista 6/66 vs. lista 6/67 OMS/OPS CIE-10</w:t>
      </w:r>
      <w:r w:rsidRPr="00AA4A03">
        <w:rPr>
          <w:rFonts w:ascii="Arial" w:eastAsia="Arial" w:hAnsi="Arial" w:cs="Arial"/>
          <w:color w:val="000000" w:themeColor="text1"/>
        </w:rPr>
        <w:t xml:space="preserve">. </w:t>
      </w:r>
      <w:hyperlink r:id="rId39" w:history="1">
        <w:r w:rsidRPr="00AA4A03">
          <w:rPr>
            <w:rStyle w:val="Hipervnculo"/>
            <w:rFonts w:ascii="Arial" w:eastAsia="Arial" w:hAnsi="Arial" w:cs="Arial"/>
          </w:rPr>
          <w:t>https://www.dane.gov.co/files/investigaciones/poblacion/defunciones/DT-homolgacion-listas-causas-agrupadas-dic-2020.pdf</w:t>
        </w:r>
      </w:hyperlink>
    </w:p>
    <w:p w14:paraId="790C4E23"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Departamento Administrativo Nacional de Estadística. (s. f.). </w:t>
      </w:r>
      <w:r w:rsidRPr="00AA4A03">
        <w:rPr>
          <w:rFonts w:ascii="Arial" w:eastAsia="Arial" w:hAnsi="Arial" w:cs="Arial"/>
          <w:i/>
          <w:iCs/>
          <w:color w:val="000000" w:themeColor="text1"/>
        </w:rPr>
        <w:t>Proyecciones de población: Actualización post COVID-19, CNPV 2018</w:t>
      </w:r>
      <w:r w:rsidRPr="00AA4A03">
        <w:rPr>
          <w:rFonts w:ascii="Arial" w:eastAsia="Arial" w:hAnsi="Arial" w:cs="Arial"/>
          <w:color w:val="000000" w:themeColor="text1"/>
        </w:rPr>
        <w:t xml:space="preserve">. Recuperado en mayo de 2026, de </w:t>
      </w:r>
      <w:hyperlink r:id="rId40" w:history="1">
        <w:r w:rsidRPr="00AA4A03">
          <w:rPr>
            <w:rStyle w:val="Hipervnculo"/>
            <w:rFonts w:ascii="Arial" w:eastAsia="Arial" w:hAnsi="Arial" w:cs="Arial"/>
          </w:rPr>
          <w:t>https://www.dane.gov.co/index.php/estadisticas-por-tema/demografia-y-poblacion/proyecciones-de-poblacion</w:t>
        </w:r>
      </w:hyperlink>
    </w:p>
    <w:p w14:paraId="681E961D"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lastRenderedPageBreak/>
        <w:t xml:space="preserve">Instituto Nacional de Salud. (2024). </w:t>
      </w:r>
      <w:r w:rsidRPr="00AA4A03">
        <w:rPr>
          <w:rFonts w:ascii="Arial" w:eastAsia="Arial" w:hAnsi="Arial" w:cs="Arial"/>
          <w:i/>
          <w:iCs/>
          <w:color w:val="000000" w:themeColor="text1"/>
        </w:rPr>
        <w:t>Protocolo de vigilancia en salud pública: Mortalidad materna</w:t>
      </w:r>
      <w:r w:rsidRPr="00AA4A03">
        <w:rPr>
          <w:rFonts w:ascii="Arial" w:eastAsia="Arial" w:hAnsi="Arial" w:cs="Arial"/>
          <w:color w:val="000000" w:themeColor="text1"/>
        </w:rPr>
        <w:t xml:space="preserve">. </w:t>
      </w:r>
      <w:hyperlink r:id="rId41" w:history="1">
        <w:r w:rsidRPr="00AA4A03">
          <w:rPr>
            <w:rStyle w:val="Hipervnculo"/>
            <w:rFonts w:ascii="Arial" w:eastAsia="Arial" w:hAnsi="Arial" w:cs="Arial"/>
          </w:rPr>
          <w:t>https://www.ins.gov.co/buscador-eventos/Lineamientos/Pro_mortalidad%20materna%202024.pdf</w:t>
        </w:r>
      </w:hyperlink>
    </w:p>
    <w:p w14:paraId="7871CB0C"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Ministerio de Salud y Protección Social. (2013, 17 de mayo). </w:t>
      </w:r>
      <w:r w:rsidRPr="00AA4A03">
        <w:rPr>
          <w:rFonts w:ascii="Arial" w:eastAsia="Arial" w:hAnsi="Arial" w:cs="Arial"/>
          <w:i/>
          <w:iCs/>
          <w:color w:val="000000" w:themeColor="text1"/>
        </w:rPr>
        <w:t>Resolución 1604 de 2013: Por la cual se reglamenta el artículo 131 del Decreto Ley 019 de 2012 y se dictan otras disposiciones</w:t>
      </w:r>
      <w:r w:rsidRPr="00AA4A03">
        <w:rPr>
          <w:rFonts w:ascii="Arial" w:eastAsia="Arial" w:hAnsi="Arial" w:cs="Arial"/>
          <w:color w:val="000000" w:themeColor="text1"/>
        </w:rPr>
        <w:t xml:space="preserve">. </w:t>
      </w:r>
      <w:hyperlink r:id="rId42" w:history="1">
        <w:r w:rsidRPr="00AA4A03">
          <w:rPr>
            <w:rStyle w:val="Hipervnculo"/>
            <w:rFonts w:ascii="Arial" w:eastAsia="Arial" w:hAnsi="Arial" w:cs="Arial"/>
          </w:rPr>
          <w:t>https://www.alcaldiabogota.gov.co/sisjur/normas/Norma1.jsp?i=53191</w:t>
        </w:r>
      </w:hyperlink>
    </w:p>
    <w:p w14:paraId="40877682"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Ministerio de Salud y Protección Social. (2016, 25 de julio). </w:t>
      </w:r>
      <w:r w:rsidRPr="00AA4A03">
        <w:rPr>
          <w:rFonts w:ascii="Arial" w:eastAsia="Arial" w:hAnsi="Arial" w:cs="Arial"/>
          <w:i/>
          <w:iCs/>
          <w:color w:val="000000" w:themeColor="text1"/>
        </w:rPr>
        <w:t>Resolución 3202 de 2016: Por la cual se adopta el Manual metodológico para la elaboración e implementación de las Rutas Integrales de Atención en Salud (RIAS), se adopta un grupo de Rutas Integrales de Atención en Salud desarrolladas por el Ministerio de Salud y Protección Social dentro de la Política de Atención Integral en Salud (PAIS), y se dictan otras disposiciones</w:t>
      </w:r>
      <w:r w:rsidRPr="00AA4A03">
        <w:rPr>
          <w:rFonts w:ascii="Arial" w:eastAsia="Arial" w:hAnsi="Arial" w:cs="Arial"/>
          <w:color w:val="000000" w:themeColor="text1"/>
        </w:rPr>
        <w:t xml:space="preserve">. </w:t>
      </w:r>
      <w:hyperlink r:id="rId43" w:history="1">
        <w:r w:rsidRPr="00AA4A03">
          <w:rPr>
            <w:rStyle w:val="Hipervnculo"/>
            <w:rFonts w:ascii="Arial" w:eastAsia="Arial" w:hAnsi="Arial" w:cs="Arial"/>
          </w:rPr>
          <w:t>https://www.minsalud.gov.co/Normatividad_Nuevo/Resoluci%C3%B3n%203202%20de%202016.pdf</w:t>
        </w:r>
      </w:hyperlink>
    </w:p>
    <w:p w14:paraId="27DA297A"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Ministerio de Salud y Protección Social. (2018, 2 de agosto). </w:t>
      </w:r>
      <w:r w:rsidRPr="00AA4A03">
        <w:rPr>
          <w:rFonts w:ascii="Arial" w:eastAsia="Arial" w:hAnsi="Arial" w:cs="Arial"/>
          <w:i/>
          <w:iCs/>
          <w:color w:val="000000" w:themeColor="text1"/>
        </w:rPr>
        <w:t>Resolución 3280 de 2018: Por la cual se adoptan los lineamientos técnicos y operativos de la Ruta Integral de Atención para la Promoción y Mantenimiento de la Salud y la Ruta Integral de Atención en Salud para la Población Materno Perinatal, y se dictan otras disposiciones</w:t>
      </w:r>
      <w:r w:rsidRPr="00AA4A03">
        <w:rPr>
          <w:rFonts w:ascii="Arial" w:eastAsia="Arial" w:hAnsi="Arial" w:cs="Arial"/>
          <w:color w:val="000000" w:themeColor="text1"/>
        </w:rPr>
        <w:t xml:space="preserve">. </w:t>
      </w:r>
      <w:hyperlink r:id="rId44" w:history="1">
        <w:r w:rsidRPr="00AA4A03">
          <w:rPr>
            <w:rStyle w:val="Hipervnculo"/>
            <w:rFonts w:ascii="Arial" w:eastAsia="Arial" w:hAnsi="Arial" w:cs="Arial"/>
          </w:rPr>
          <w:t>https://www.minsalud.gov.co/sites/rid/lists/bibliotecadigital/ride/de/dij/resolucion-3280-de-2018.pdf</w:t>
        </w:r>
      </w:hyperlink>
    </w:p>
    <w:p w14:paraId="7775F566"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Ministerio de Salud y Protección Social. (2023, 29 de diciembre). </w:t>
      </w:r>
      <w:r w:rsidRPr="00AA4A03">
        <w:rPr>
          <w:rFonts w:ascii="Arial" w:eastAsia="Arial" w:hAnsi="Arial" w:cs="Arial"/>
          <w:i/>
          <w:iCs/>
          <w:color w:val="000000" w:themeColor="text1"/>
        </w:rPr>
        <w:t>Resolución 2335 de 2023: Por la cual se establecen los procedimientos y aspectos técnicos para la ejecución, seguimiento y ajuste a los acuerdos de voluntades y se dictan otras disposiciones</w:t>
      </w:r>
      <w:r w:rsidRPr="00AA4A03">
        <w:rPr>
          <w:rFonts w:ascii="Arial" w:eastAsia="Arial" w:hAnsi="Arial" w:cs="Arial"/>
          <w:color w:val="000000" w:themeColor="text1"/>
        </w:rPr>
        <w:t xml:space="preserve">. </w:t>
      </w:r>
      <w:hyperlink r:id="rId45" w:history="1">
        <w:r w:rsidRPr="00AA4A03">
          <w:rPr>
            <w:rStyle w:val="Hipervnculo"/>
            <w:rFonts w:ascii="Arial" w:eastAsia="Arial" w:hAnsi="Arial" w:cs="Arial"/>
          </w:rPr>
          <w:t>https://www.minsalud.gov.co/Normatividad_Nuevo/Resoluci%C3%B3n%20No%202335%20de%202023.pdf</w:t>
        </w:r>
      </w:hyperlink>
    </w:p>
    <w:p w14:paraId="03544038"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Ministerio de Salud y Protección Social. (2024, 30 de diciembre). </w:t>
      </w:r>
      <w:r w:rsidRPr="00AA4A03">
        <w:rPr>
          <w:rFonts w:ascii="Arial" w:eastAsia="Arial" w:hAnsi="Arial" w:cs="Arial"/>
          <w:i/>
          <w:iCs/>
          <w:color w:val="000000" w:themeColor="text1"/>
        </w:rPr>
        <w:t>Resolución 2718 de 2024: Por la cual se actualizan los servicios y tecnologías de salud financiados con recursos de la Unidad de Pago por Capitación (UPC)</w:t>
      </w:r>
      <w:r w:rsidRPr="00AA4A03">
        <w:rPr>
          <w:rFonts w:ascii="Arial" w:eastAsia="Arial" w:hAnsi="Arial" w:cs="Arial"/>
          <w:color w:val="000000" w:themeColor="text1"/>
        </w:rPr>
        <w:t xml:space="preserve">. </w:t>
      </w:r>
      <w:hyperlink r:id="rId46" w:history="1">
        <w:r w:rsidRPr="00AA4A03">
          <w:rPr>
            <w:rStyle w:val="Hipervnculo"/>
            <w:rFonts w:ascii="Arial" w:eastAsia="Arial" w:hAnsi="Arial" w:cs="Arial"/>
          </w:rPr>
          <w:t>https://www.minsalud.gov.co/Normatividad_Nuevo/Resoluci%C3%B3n%20No%202718%20de%202024.pdf</w:t>
        </w:r>
      </w:hyperlink>
    </w:p>
    <w:p w14:paraId="5230690D"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Ministerio de Salud y Protección Social. (s. f.). </w:t>
      </w:r>
      <w:r w:rsidRPr="00AA4A03">
        <w:rPr>
          <w:rFonts w:ascii="Arial" w:eastAsia="Arial" w:hAnsi="Arial" w:cs="Arial"/>
          <w:i/>
          <w:iCs/>
          <w:color w:val="000000" w:themeColor="text1"/>
        </w:rPr>
        <w:t>Cifras de afiliación en salud</w:t>
      </w:r>
      <w:r w:rsidRPr="00AA4A03">
        <w:rPr>
          <w:rFonts w:ascii="Arial" w:eastAsia="Arial" w:hAnsi="Arial" w:cs="Arial"/>
          <w:color w:val="000000" w:themeColor="text1"/>
        </w:rPr>
        <w:t xml:space="preserve">. Recuperado en mayo de 2026, de </w:t>
      </w:r>
      <w:hyperlink r:id="rId47" w:history="1">
        <w:r w:rsidRPr="00AA4A03">
          <w:rPr>
            <w:rStyle w:val="Hipervnculo"/>
            <w:rFonts w:ascii="Arial" w:eastAsia="Arial" w:hAnsi="Arial" w:cs="Arial"/>
          </w:rPr>
          <w:t>https://www.minsalud.gov.co/proteccionsocial/paginas/cifras-aseguramiento-salud.aspx</w:t>
        </w:r>
      </w:hyperlink>
    </w:p>
    <w:p w14:paraId="263B0738"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Ministerio de Salud y Protección Social. (s. f.). </w:t>
      </w:r>
      <w:r w:rsidRPr="00AA4A03">
        <w:rPr>
          <w:rFonts w:ascii="Arial" w:eastAsia="Arial" w:hAnsi="Arial" w:cs="Arial"/>
          <w:i/>
          <w:iCs/>
          <w:color w:val="000000" w:themeColor="text1"/>
        </w:rPr>
        <w:t>Cifras de aseguramiento en salud: Tablero público de afiliación</w:t>
      </w:r>
      <w:r w:rsidRPr="00AA4A03">
        <w:rPr>
          <w:rFonts w:ascii="Arial" w:eastAsia="Arial" w:hAnsi="Arial" w:cs="Arial"/>
          <w:color w:val="000000" w:themeColor="text1"/>
        </w:rPr>
        <w:t xml:space="preserve">. Recuperado en mayo de 2026, de </w:t>
      </w:r>
      <w:hyperlink r:id="rId48" w:history="1">
        <w:r w:rsidRPr="00AA4A03">
          <w:rPr>
            <w:rStyle w:val="Hipervnculo"/>
            <w:rFonts w:ascii="Arial" w:eastAsia="Arial" w:hAnsi="Arial" w:cs="Arial"/>
          </w:rPr>
          <w:t>https://public.tableau.com/app/profile/minsaludcol/viz/CifrasAseguramientoenSalud_16166927767750/Aseguramiento</w:t>
        </w:r>
      </w:hyperlink>
    </w:p>
    <w:p w14:paraId="4190C49D"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Ministerio de Salud y Protección Social. (s. f.). </w:t>
      </w:r>
      <w:r w:rsidRPr="00AA4A03">
        <w:rPr>
          <w:rFonts w:ascii="Arial" w:eastAsia="Arial" w:hAnsi="Arial" w:cs="Arial"/>
          <w:i/>
          <w:iCs/>
          <w:color w:val="000000" w:themeColor="text1"/>
        </w:rPr>
        <w:t>Lista 6/67 CIE-10 OMS/OPS para la agrupación de causas de mortalidad</w:t>
      </w:r>
      <w:r w:rsidRPr="00AA4A03">
        <w:rPr>
          <w:rFonts w:ascii="Arial" w:eastAsia="Arial" w:hAnsi="Arial" w:cs="Arial"/>
          <w:color w:val="000000" w:themeColor="text1"/>
        </w:rPr>
        <w:t xml:space="preserve">. </w:t>
      </w:r>
      <w:hyperlink r:id="rId49" w:history="1">
        <w:r w:rsidRPr="00AA4A03">
          <w:rPr>
            <w:rStyle w:val="Hipervnculo"/>
            <w:rFonts w:ascii="Arial" w:eastAsia="Arial" w:hAnsi="Arial" w:cs="Arial"/>
          </w:rPr>
          <w:t>https://www.minsalud.gov.co/sites/rid/Lists/BibliotecaDigital/RIDE/INEC/INTOR/8.Lista_Mort%20OPS%20667.pdf</w:t>
        </w:r>
      </w:hyperlink>
    </w:p>
    <w:p w14:paraId="69D389A2"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Presidencia de la República de Colombia. (2007, 30 de marzo). </w:t>
      </w:r>
      <w:r w:rsidRPr="00AA4A03">
        <w:rPr>
          <w:rFonts w:ascii="Arial" w:eastAsia="Arial" w:hAnsi="Arial" w:cs="Arial"/>
          <w:i/>
          <w:iCs/>
          <w:color w:val="000000" w:themeColor="text1"/>
        </w:rPr>
        <w:t>Decreto 1020 de 2007: Por el cual se reglamenta la contratación obligatoria y efectiva con Empresas Sociales del Estado en el régimen subsidiado</w:t>
      </w:r>
      <w:r w:rsidRPr="00AA4A03">
        <w:rPr>
          <w:rFonts w:ascii="Arial" w:eastAsia="Arial" w:hAnsi="Arial" w:cs="Arial"/>
          <w:color w:val="000000" w:themeColor="text1"/>
        </w:rPr>
        <w:t xml:space="preserve">. </w:t>
      </w:r>
      <w:hyperlink r:id="rId50" w:history="1">
        <w:r w:rsidRPr="00AA4A03">
          <w:rPr>
            <w:rStyle w:val="Hipervnculo"/>
            <w:rFonts w:ascii="Arial" w:eastAsia="Arial" w:hAnsi="Arial" w:cs="Arial"/>
          </w:rPr>
          <w:t>https://www.funcionpublica.gov.co/eva/gestornormativo/norma.php?i=28571</w:t>
        </w:r>
      </w:hyperlink>
    </w:p>
    <w:p w14:paraId="7353FA71"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Presidencia de la República de Colombia. (2012, 10 de enero). </w:t>
      </w:r>
      <w:r w:rsidRPr="00AA4A03">
        <w:rPr>
          <w:rFonts w:ascii="Arial" w:eastAsia="Arial" w:hAnsi="Arial" w:cs="Arial"/>
          <w:i/>
          <w:iCs/>
          <w:color w:val="000000" w:themeColor="text1"/>
        </w:rPr>
        <w:t>Decreto Ley 019 de 2012: Por el cual se dictan normas para suprimir o reformar regulaciones, procedimientos y trámites innecesarios existentes en la Administración Pública</w:t>
      </w:r>
      <w:r w:rsidRPr="00AA4A03">
        <w:rPr>
          <w:rFonts w:ascii="Arial" w:eastAsia="Arial" w:hAnsi="Arial" w:cs="Arial"/>
          <w:color w:val="000000" w:themeColor="text1"/>
        </w:rPr>
        <w:t xml:space="preserve">. </w:t>
      </w:r>
      <w:hyperlink r:id="rId51" w:history="1">
        <w:r w:rsidRPr="00AA4A03">
          <w:rPr>
            <w:rStyle w:val="Hipervnculo"/>
            <w:rFonts w:ascii="Arial" w:eastAsia="Arial" w:hAnsi="Arial" w:cs="Arial"/>
          </w:rPr>
          <w:t>https://www.funcionpublica.gov.co/eva/gestornormativo/norma.php?i=45322</w:t>
        </w:r>
      </w:hyperlink>
    </w:p>
    <w:p w14:paraId="77BBC525"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Presidencia de la República de Colombia. (2016, 6 de mayo). </w:t>
      </w:r>
      <w:r w:rsidRPr="00AA4A03">
        <w:rPr>
          <w:rFonts w:ascii="Arial" w:eastAsia="Arial" w:hAnsi="Arial" w:cs="Arial"/>
          <w:i/>
          <w:iCs/>
          <w:color w:val="000000" w:themeColor="text1"/>
        </w:rPr>
        <w:t>Decreto 780 de 2016: Por medio del cual se expide el Decreto Único Reglamentario del Sector Salud y Protección Social</w:t>
      </w:r>
      <w:r w:rsidRPr="00AA4A03">
        <w:rPr>
          <w:rFonts w:ascii="Arial" w:eastAsia="Arial" w:hAnsi="Arial" w:cs="Arial"/>
          <w:color w:val="000000" w:themeColor="text1"/>
        </w:rPr>
        <w:t xml:space="preserve">. </w:t>
      </w:r>
      <w:hyperlink r:id="rId52" w:history="1">
        <w:r w:rsidRPr="00AA4A03">
          <w:rPr>
            <w:rStyle w:val="Hipervnculo"/>
            <w:rFonts w:ascii="Arial" w:eastAsia="Arial" w:hAnsi="Arial" w:cs="Arial"/>
          </w:rPr>
          <w:t>https://www.suin-juriscol.gov.co/viewDocument.asp?ruta=Decretos/30021559</w:t>
        </w:r>
      </w:hyperlink>
    </w:p>
    <w:p w14:paraId="798725A2"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Presidencia de la República de Colombia. (2022, 28 de marzo). </w:t>
      </w:r>
      <w:r w:rsidRPr="00AA4A03">
        <w:rPr>
          <w:rFonts w:ascii="Arial" w:eastAsia="Arial" w:hAnsi="Arial" w:cs="Arial"/>
          <w:i/>
          <w:iCs/>
          <w:color w:val="000000" w:themeColor="text1"/>
        </w:rPr>
        <w:t xml:space="preserve">Decreto 441 de 2022: Por medio del cual se sustituye el Capítulo 4 del Título 3 de la Parte 5 del Libro 2 del Decreto 780 de 2016, relativo a los acuerdos de voluntades entre entidades responsables de pago, prestadores de servicios de salud y </w:t>
      </w:r>
      <w:r w:rsidRPr="00AA4A03">
        <w:rPr>
          <w:rFonts w:ascii="Arial" w:eastAsia="Arial" w:hAnsi="Arial" w:cs="Arial"/>
          <w:i/>
          <w:iCs/>
          <w:color w:val="000000" w:themeColor="text1"/>
        </w:rPr>
        <w:lastRenderedPageBreak/>
        <w:t>proveedores de tecnologías en salud</w:t>
      </w:r>
      <w:r w:rsidRPr="00AA4A03">
        <w:rPr>
          <w:rFonts w:ascii="Arial" w:eastAsia="Arial" w:hAnsi="Arial" w:cs="Arial"/>
          <w:color w:val="000000" w:themeColor="text1"/>
        </w:rPr>
        <w:t xml:space="preserve">. </w:t>
      </w:r>
      <w:hyperlink r:id="rId53" w:history="1">
        <w:r w:rsidRPr="00AA4A03">
          <w:rPr>
            <w:rStyle w:val="Hipervnculo"/>
            <w:rFonts w:ascii="Arial" w:eastAsia="Arial" w:hAnsi="Arial" w:cs="Arial"/>
          </w:rPr>
          <w:t>https://www.funcionpublica.gov.co/eva/gestornormativo/norma.php?i=184728</w:t>
        </w:r>
      </w:hyperlink>
    </w:p>
    <w:p w14:paraId="50BBA82B"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Presidencia de la República de Colombia. (2026, 25 de febrero). </w:t>
      </w:r>
      <w:r w:rsidRPr="00AA4A03">
        <w:rPr>
          <w:rFonts w:ascii="Arial" w:eastAsia="Arial" w:hAnsi="Arial" w:cs="Arial"/>
          <w:i/>
          <w:iCs/>
          <w:color w:val="000000" w:themeColor="text1"/>
        </w:rPr>
        <w:t>Decreto 182 de 2026: Por el cual se modifican disposiciones relacionadas con la operación del aseguramiento con enfoque territorial y poblacional</w:t>
      </w:r>
      <w:r w:rsidRPr="00AA4A03">
        <w:rPr>
          <w:rFonts w:ascii="Arial" w:eastAsia="Arial" w:hAnsi="Arial" w:cs="Arial"/>
          <w:color w:val="000000" w:themeColor="text1"/>
        </w:rPr>
        <w:t xml:space="preserve">. </w:t>
      </w:r>
      <w:hyperlink r:id="rId54" w:history="1">
        <w:r w:rsidRPr="00AA4A03">
          <w:rPr>
            <w:rStyle w:val="Hipervnculo"/>
            <w:rFonts w:ascii="Arial" w:eastAsia="Arial" w:hAnsi="Arial" w:cs="Arial"/>
          </w:rPr>
          <w:t>https://www.funcionpublica.gov.co/eva/gestornormativo/norma.php?i=272476</w:t>
        </w:r>
      </w:hyperlink>
    </w:p>
    <w:p w14:paraId="4A2F5E40"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Secretaría Distrital de Salud de Bogotá, D. C. (2025). </w:t>
      </w:r>
      <w:r w:rsidRPr="00AA4A03">
        <w:rPr>
          <w:rFonts w:ascii="Arial" w:eastAsia="Arial" w:hAnsi="Arial" w:cs="Arial"/>
          <w:i/>
          <w:iCs/>
          <w:color w:val="000000" w:themeColor="text1"/>
        </w:rPr>
        <w:t>Aplicativo RUAF-ND: Sistema de Estadísticas Vitales SDS – EEVV preliminares, corte ajustado al 10 de diciembre de 2025</w:t>
      </w:r>
      <w:r w:rsidRPr="00AA4A03">
        <w:rPr>
          <w:rFonts w:ascii="Arial" w:eastAsia="Arial" w:hAnsi="Arial" w:cs="Arial"/>
          <w:color w:val="000000" w:themeColor="text1"/>
        </w:rPr>
        <w:t>. Base de datos institucional no publicada.</w:t>
      </w:r>
    </w:p>
    <w:p w14:paraId="163F94EB"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Secretaría Distrital de Salud de Bogotá, D. C. (2025, 4 de septiembre). </w:t>
      </w:r>
      <w:r w:rsidRPr="00AA4A03">
        <w:rPr>
          <w:rFonts w:ascii="Arial" w:eastAsia="Arial" w:hAnsi="Arial" w:cs="Arial"/>
          <w:i/>
          <w:iCs/>
          <w:color w:val="000000" w:themeColor="text1"/>
        </w:rPr>
        <w:t>Resolución 943 de 2025: Por la cual se establecen acciones para la atención integral y segura de la población en edad fértil, gestantes y recién nacidos en el marco de la atención materno perinatal</w:t>
      </w:r>
      <w:r w:rsidRPr="00AA4A03">
        <w:rPr>
          <w:rFonts w:ascii="Arial" w:eastAsia="Arial" w:hAnsi="Arial" w:cs="Arial"/>
          <w:color w:val="000000" w:themeColor="text1"/>
        </w:rPr>
        <w:t xml:space="preserve">. </w:t>
      </w:r>
      <w:hyperlink r:id="rId55" w:history="1">
        <w:r w:rsidRPr="00AA4A03">
          <w:rPr>
            <w:rStyle w:val="Hipervnculo"/>
            <w:rFonts w:ascii="Arial" w:eastAsia="Arial" w:hAnsi="Arial" w:cs="Arial"/>
          </w:rPr>
          <w:t>https://www.alcaldiabogota.gov.co/sisjur/normas/Norma1.jsp?i=190983</w:t>
        </w:r>
      </w:hyperlink>
    </w:p>
    <w:p w14:paraId="2040C2C8"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Secretaría Distrital de Salud de Bogotá, D. C. (2026). </w:t>
      </w:r>
      <w:r w:rsidRPr="00AA4A03">
        <w:rPr>
          <w:rFonts w:ascii="Arial" w:eastAsia="Arial" w:hAnsi="Arial" w:cs="Arial"/>
          <w:i/>
          <w:iCs/>
          <w:color w:val="000000" w:themeColor="text1"/>
        </w:rPr>
        <w:t>Base de datos Bogotá Te Escucha – Dirección de Aseguramiento y Garantía del Derecho a la Salud; Sistema de Información para el Monitoreo del Acceso (SIDMA)</w:t>
      </w:r>
      <w:r w:rsidRPr="00AA4A03">
        <w:rPr>
          <w:rFonts w:ascii="Arial" w:eastAsia="Arial" w:hAnsi="Arial" w:cs="Arial"/>
          <w:color w:val="000000" w:themeColor="text1"/>
        </w:rPr>
        <w:t>. Base de datos institucional no publicada.</w:t>
      </w:r>
    </w:p>
    <w:p w14:paraId="6F7D2A1A"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Secretaría Distrital de Salud de Bogotá, D. C. (2026). </w:t>
      </w:r>
      <w:r w:rsidRPr="00AA4A03">
        <w:rPr>
          <w:rFonts w:ascii="Arial" w:eastAsia="Arial" w:hAnsi="Arial" w:cs="Arial"/>
          <w:i/>
          <w:iCs/>
          <w:color w:val="000000" w:themeColor="text1"/>
        </w:rPr>
        <w:t>Consolidado del número de casos especiales detectados por el Grupo de Atención y Monitoreo en Salud (GAMA), periodo 27 de mayo de 2025 a 31 de enero de 2026</w:t>
      </w:r>
      <w:r w:rsidRPr="00AA4A03">
        <w:rPr>
          <w:rFonts w:ascii="Arial" w:eastAsia="Arial" w:hAnsi="Arial" w:cs="Arial"/>
          <w:color w:val="000000" w:themeColor="text1"/>
        </w:rPr>
        <w:t>. Base de datos institucional no publicada.</w:t>
      </w:r>
    </w:p>
    <w:p w14:paraId="2FC5112C"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Secretaría Distrital de Salud de Bogotá, D. C. (2026). </w:t>
      </w:r>
      <w:r w:rsidRPr="00AA4A03">
        <w:rPr>
          <w:rFonts w:ascii="Arial" w:eastAsia="Arial" w:hAnsi="Arial" w:cs="Arial"/>
          <w:i/>
          <w:iCs/>
          <w:color w:val="000000" w:themeColor="text1"/>
        </w:rPr>
        <w:t>Informe ejecutivo de análisis a los resultados de la gestión de EPS Capital Salud</w:t>
      </w:r>
      <w:r w:rsidRPr="00AA4A03">
        <w:rPr>
          <w:rFonts w:ascii="Arial" w:eastAsia="Arial" w:hAnsi="Arial" w:cs="Arial"/>
          <w:color w:val="000000" w:themeColor="text1"/>
        </w:rPr>
        <w:t>. Documento preliminar de trabajo no publicado.</w:t>
      </w:r>
    </w:p>
    <w:p w14:paraId="363083DA"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Superintendencia Nacional de Salud. (2023, 22 de junio). </w:t>
      </w:r>
      <w:r w:rsidRPr="00AA4A03">
        <w:rPr>
          <w:rFonts w:ascii="Arial" w:eastAsia="Arial" w:hAnsi="Arial" w:cs="Arial"/>
          <w:i/>
          <w:iCs/>
          <w:color w:val="000000" w:themeColor="text1"/>
        </w:rPr>
        <w:t>Circular Externa 2023151000000010-5 de 2023: Términos para resolver los reclamos en salud y nueva clasificación de motivos</w:t>
      </w:r>
      <w:r w:rsidRPr="00AA4A03">
        <w:rPr>
          <w:rFonts w:ascii="Arial" w:eastAsia="Arial" w:hAnsi="Arial" w:cs="Arial"/>
          <w:color w:val="000000" w:themeColor="text1"/>
        </w:rPr>
        <w:t xml:space="preserve">. </w:t>
      </w:r>
      <w:hyperlink r:id="rId56" w:history="1">
        <w:r w:rsidRPr="00AA4A03">
          <w:rPr>
            <w:rStyle w:val="Hipervnculo"/>
            <w:rFonts w:ascii="Arial" w:eastAsia="Arial" w:hAnsi="Arial" w:cs="Arial"/>
          </w:rPr>
          <w:t>https://www.alcaldiabogota.gov.co/sisjur/normas/Norma1.jsp?i=143808</w:t>
        </w:r>
      </w:hyperlink>
    </w:p>
    <w:p w14:paraId="7E3F04E1"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lastRenderedPageBreak/>
        <w:t xml:space="preserve">Superintendencia Nacional de Salud. (2023). </w:t>
      </w:r>
      <w:r w:rsidRPr="00AA4A03">
        <w:rPr>
          <w:rFonts w:ascii="Arial" w:eastAsia="Arial" w:hAnsi="Arial" w:cs="Arial"/>
          <w:i/>
          <w:iCs/>
          <w:color w:val="000000" w:themeColor="text1"/>
        </w:rPr>
        <w:t>Abecé de la Circular Externa 2023151000000010-5 de 2023: Términos para resolver los reclamos en salud y nueva clasificación de motivos</w:t>
      </w:r>
      <w:r w:rsidRPr="00AA4A03">
        <w:rPr>
          <w:rFonts w:ascii="Arial" w:eastAsia="Arial" w:hAnsi="Arial" w:cs="Arial"/>
          <w:color w:val="000000" w:themeColor="text1"/>
        </w:rPr>
        <w:t xml:space="preserve">. </w:t>
      </w:r>
      <w:hyperlink r:id="rId57" w:history="1">
        <w:r w:rsidRPr="00AA4A03">
          <w:rPr>
            <w:rStyle w:val="Hipervnculo"/>
            <w:rFonts w:ascii="Arial" w:eastAsia="Arial" w:hAnsi="Arial" w:cs="Arial"/>
          </w:rPr>
          <w:t>https://docs.supersalud.gov.co/PortalWeb/metodologias/OtrosDocumentosMetodologias/ABC%20CE%20Reclamos%20en%20salud.pdf</w:t>
        </w:r>
      </w:hyperlink>
    </w:p>
    <w:p w14:paraId="52AB1EE7"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Superintendencia Nacional de Salud. (2025, 3 de junio). </w:t>
      </w:r>
      <w:r w:rsidRPr="00AA4A03">
        <w:rPr>
          <w:rFonts w:ascii="Arial" w:eastAsia="Arial" w:hAnsi="Arial" w:cs="Arial"/>
          <w:i/>
          <w:iCs/>
          <w:color w:val="000000" w:themeColor="text1"/>
        </w:rPr>
        <w:t>Circular Externa 2025151000000005-5 de 2025: Modificación de la Circular Externa 001 de 2020, en cuanto a criterios de auditoría, responsables, plazos, planes de mejoramiento y otras disposiciones</w:t>
      </w:r>
      <w:r w:rsidRPr="00AA4A03">
        <w:rPr>
          <w:rFonts w:ascii="Arial" w:eastAsia="Arial" w:hAnsi="Arial" w:cs="Arial"/>
          <w:color w:val="000000" w:themeColor="text1"/>
        </w:rPr>
        <w:t xml:space="preserve">. </w:t>
      </w:r>
      <w:hyperlink r:id="rId58" w:history="1">
        <w:r w:rsidRPr="00AA4A03">
          <w:rPr>
            <w:rStyle w:val="Hipervnculo"/>
            <w:rFonts w:ascii="Arial" w:eastAsia="Arial" w:hAnsi="Arial" w:cs="Arial"/>
          </w:rPr>
          <w:t>https://docs.supersalud.gov.co/PortalWeb/Juridica/CircularesExterna/Circular%20externa%20n%C3%BAmero%20%202025151000000005-5%20de%202025.pdf</w:t>
        </w:r>
      </w:hyperlink>
    </w:p>
    <w:p w14:paraId="09CD64CE"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Superintendencia Nacional de Salud. (2025). </w:t>
      </w:r>
      <w:r w:rsidRPr="00AA4A03">
        <w:rPr>
          <w:rFonts w:ascii="Arial" w:eastAsia="Arial" w:hAnsi="Arial" w:cs="Arial"/>
          <w:i/>
          <w:iCs/>
          <w:color w:val="000000" w:themeColor="text1"/>
        </w:rPr>
        <w:t>Guía de Auditoría Institucional – GAUDI: Inspección y vigilancia al aseguramiento y a la prestación de servicios de salud por parte de las entidades territoriales a las Entidades Promotoras de Salud (RC-RS), versión 05</w:t>
      </w:r>
      <w:r w:rsidRPr="00AA4A03">
        <w:rPr>
          <w:rFonts w:ascii="Arial" w:eastAsia="Arial" w:hAnsi="Arial" w:cs="Arial"/>
          <w:color w:val="000000" w:themeColor="text1"/>
        </w:rPr>
        <w:t xml:space="preserve">. </w:t>
      </w:r>
      <w:hyperlink r:id="rId59" w:history="1">
        <w:r w:rsidRPr="00AA4A03">
          <w:rPr>
            <w:rStyle w:val="Hipervnculo"/>
            <w:rFonts w:ascii="Arial" w:eastAsia="Arial" w:hAnsi="Arial" w:cs="Arial"/>
          </w:rPr>
          <w:t>https://docs.supersalud.gov.co/PortalWeb/metodologias/OtrosDocumentosMetodologias/Gu%C3%ADa%20de%20Auditor%C3%ADa%20Institucional%20GAUDI.pdf</w:t>
        </w:r>
      </w:hyperlink>
    </w:p>
    <w:p w14:paraId="27A0E0FE"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Superintendencia Nacional de Salud. (2025). </w:t>
      </w:r>
      <w:r w:rsidRPr="00AA4A03">
        <w:rPr>
          <w:rFonts w:ascii="Arial" w:eastAsia="Arial" w:hAnsi="Arial" w:cs="Arial"/>
          <w:i/>
          <w:iCs/>
          <w:color w:val="000000" w:themeColor="text1"/>
        </w:rPr>
        <w:t>Acta de auditoría IVS Capital Salud EPS-S, II semestre de 2024 – I semestre de 2025: Subcomponente Gestión Efectiva de PQRS</w:t>
      </w:r>
      <w:r w:rsidRPr="00AA4A03">
        <w:rPr>
          <w:rFonts w:ascii="Arial" w:eastAsia="Arial" w:hAnsi="Arial" w:cs="Arial"/>
          <w:color w:val="000000" w:themeColor="text1"/>
        </w:rPr>
        <w:t>. Documento institucional no publicado.</w:t>
      </w:r>
    </w:p>
    <w:p w14:paraId="61E445EA"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Superintendencia Nacional de Salud. (2025). </w:t>
      </w:r>
      <w:r w:rsidRPr="00AA4A03">
        <w:rPr>
          <w:rFonts w:ascii="Arial" w:eastAsia="Arial" w:hAnsi="Arial" w:cs="Arial"/>
          <w:i/>
          <w:iCs/>
          <w:color w:val="000000" w:themeColor="text1"/>
        </w:rPr>
        <w:t>Formato FT001 – Información financiera reportada por EPS: Estados financieros Capital Salud EPS-S, corte enero-diciembre de 2025</w:t>
      </w:r>
      <w:r w:rsidRPr="00AA4A03">
        <w:rPr>
          <w:rFonts w:ascii="Arial" w:eastAsia="Arial" w:hAnsi="Arial" w:cs="Arial"/>
          <w:color w:val="000000" w:themeColor="text1"/>
        </w:rPr>
        <w:t xml:space="preserve">. Datos abiertos. </w:t>
      </w:r>
      <w:hyperlink r:id="rId60" w:history="1">
        <w:r w:rsidRPr="00AA4A03">
          <w:rPr>
            <w:rStyle w:val="Hipervnculo"/>
            <w:rFonts w:ascii="Arial" w:eastAsia="Arial" w:hAnsi="Arial" w:cs="Arial"/>
          </w:rPr>
          <w:t>https://www.supersalud.gov.co/es-co/Paginas/Delegada%20Supervision%20de%20Riesgos/informacion-financiera-EPS-EMP-SAP-regimenes-de-excepcion-y-especiales.aspx</w:t>
        </w:r>
      </w:hyperlink>
    </w:p>
    <w:p w14:paraId="0D5B1374" w14:textId="77777777" w:rsidR="00AA4A03" w:rsidRPr="00AA4A03" w:rsidRDefault="00AA4A03" w:rsidP="005B2285">
      <w:pPr>
        <w:spacing w:line="360" w:lineRule="auto"/>
        <w:ind w:left="709" w:hanging="709"/>
        <w:jc w:val="both"/>
        <w:rPr>
          <w:rFonts w:ascii="Arial" w:eastAsia="Arial" w:hAnsi="Arial" w:cs="Arial"/>
          <w:color w:val="000000" w:themeColor="text1"/>
        </w:rPr>
      </w:pPr>
      <w:r w:rsidRPr="00AA4A03">
        <w:rPr>
          <w:rFonts w:ascii="Arial" w:eastAsia="Arial" w:hAnsi="Arial" w:cs="Arial"/>
          <w:color w:val="000000" w:themeColor="text1"/>
        </w:rPr>
        <w:t xml:space="preserve">Superintendencia Nacional de Salud. (s. f.). </w:t>
      </w:r>
      <w:r w:rsidRPr="00AA4A03">
        <w:rPr>
          <w:rFonts w:ascii="Arial" w:eastAsia="Arial" w:hAnsi="Arial" w:cs="Arial"/>
          <w:i/>
          <w:iCs/>
          <w:color w:val="000000" w:themeColor="text1"/>
        </w:rPr>
        <w:t>Reclamos en salud por EPS: Histórico nacional</w:t>
      </w:r>
      <w:r w:rsidRPr="00AA4A03">
        <w:rPr>
          <w:rFonts w:ascii="Arial" w:eastAsia="Arial" w:hAnsi="Arial" w:cs="Arial"/>
          <w:color w:val="000000" w:themeColor="text1"/>
        </w:rPr>
        <w:t xml:space="preserve">. Recuperado en mayo de 2026, de </w:t>
      </w:r>
      <w:hyperlink r:id="rId61" w:history="1">
        <w:r w:rsidRPr="00AA4A03">
          <w:rPr>
            <w:rStyle w:val="Hipervnculo"/>
            <w:rFonts w:ascii="Arial" w:eastAsia="Arial" w:hAnsi="Arial" w:cs="Arial"/>
          </w:rPr>
          <w:t>https://app.powerbi.com/view?r=eyJrIjoiYTMwY2Y4ZjEtNWI0MC00YjAxLThj</w:t>
        </w:r>
        <w:r w:rsidRPr="00AA4A03">
          <w:rPr>
            <w:rStyle w:val="Hipervnculo"/>
            <w:rFonts w:ascii="Arial" w:eastAsia="Arial" w:hAnsi="Arial" w:cs="Arial"/>
          </w:rPr>
          <w:lastRenderedPageBreak/>
          <w:t>OGUtMjdiYWZhZjVlZjgzIiwidCI6IjE3YzQwYzUxLWIxZGYtNGUyNS04Y2Q2LTlkMGQyNjc4ODMwMCIsImMiOjR9</w:t>
        </w:r>
      </w:hyperlink>
    </w:p>
    <w:sectPr w:rsidR="00AA4A03" w:rsidRPr="00AA4A03" w:rsidSect="00FB1F53">
      <w:pgSz w:w="12240" w:h="15840"/>
      <w:pgMar w:top="1418" w:right="1701" w:bottom="1418" w:left="1701"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CD4EB" w14:textId="77777777" w:rsidR="004871F9" w:rsidRDefault="004871F9">
      <w:r>
        <w:separator/>
      </w:r>
    </w:p>
  </w:endnote>
  <w:endnote w:type="continuationSeparator" w:id="0">
    <w:p w14:paraId="7DD1395C" w14:textId="77777777" w:rsidR="004871F9" w:rsidRDefault="00487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6BFD6" w14:textId="77777777" w:rsidR="004871F9" w:rsidRDefault="004871F9">
      <w:r>
        <w:separator/>
      </w:r>
    </w:p>
  </w:footnote>
  <w:footnote w:type="continuationSeparator" w:id="0">
    <w:p w14:paraId="3D1BB3AC" w14:textId="77777777" w:rsidR="004871F9" w:rsidRDefault="004871F9">
      <w:r>
        <w:continuationSeparator/>
      </w:r>
    </w:p>
  </w:footnote>
  <w:footnote w:id="1">
    <w:p w14:paraId="31A7EC73" w14:textId="3B9DC320" w:rsidR="00181396" w:rsidRPr="00181396" w:rsidRDefault="00181396" w:rsidP="00181396">
      <w:pPr>
        <w:pStyle w:val="Textonotapie"/>
        <w:spacing w:line="360" w:lineRule="auto"/>
        <w:jc w:val="both"/>
        <w:rPr>
          <w:rFonts w:ascii="Arial" w:hAnsi="Arial" w:cs="Arial"/>
          <w:sz w:val="16"/>
          <w:szCs w:val="16"/>
        </w:rPr>
      </w:pPr>
      <w:r w:rsidRPr="00181396">
        <w:rPr>
          <w:rStyle w:val="Refdenotaalpie"/>
          <w:rFonts w:ascii="Arial" w:hAnsi="Arial" w:cs="Arial"/>
          <w:sz w:val="16"/>
          <w:szCs w:val="16"/>
        </w:rPr>
        <w:footnoteRef/>
      </w:r>
      <w:r w:rsidRPr="00181396">
        <w:rPr>
          <w:rFonts w:ascii="Arial" w:hAnsi="Arial" w:cs="Arial"/>
          <w:sz w:val="16"/>
          <w:szCs w:val="16"/>
        </w:rPr>
        <w:t xml:space="preserve"> </w:t>
      </w:r>
      <w:r w:rsidRPr="00181396">
        <w:rPr>
          <w:rFonts w:ascii="Arial" w:hAnsi="Arial" w:cs="Arial"/>
          <w:sz w:val="16"/>
          <w:szCs w:val="16"/>
        </w:rPr>
        <w:t xml:space="preserve">**Nota metodológica sobre cifras de </w:t>
      </w:r>
      <w:r w:rsidRPr="00181396">
        <w:rPr>
          <w:rFonts w:ascii="Arial" w:hAnsi="Arial" w:cs="Arial"/>
          <w:sz w:val="16"/>
          <w:szCs w:val="16"/>
        </w:rPr>
        <w:t>afiliación: *</w:t>
      </w:r>
      <w:r w:rsidRPr="00181396">
        <w:rPr>
          <w:rFonts w:ascii="Arial" w:hAnsi="Arial" w:cs="Arial"/>
          <w:sz w:val="16"/>
          <w:szCs w:val="16"/>
        </w:rPr>
        <w:t>*</w:t>
      </w:r>
    </w:p>
    <w:p w14:paraId="687FE961" w14:textId="1226C28F" w:rsidR="00181396" w:rsidRPr="00181396" w:rsidRDefault="00181396" w:rsidP="00181396">
      <w:pPr>
        <w:pStyle w:val="Textonotapie"/>
        <w:spacing w:line="360" w:lineRule="auto"/>
        <w:jc w:val="both"/>
        <w:rPr>
          <w:rFonts w:ascii="Arial" w:hAnsi="Arial" w:cs="Arial"/>
          <w:sz w:val="16"/>
          <w:szCs w:val="16"/>
        </w:rPr>
      </w:pPr>
      <w:r w:rsidRPr="00181396">
        <w:rPr>
          <w:rFonts w:ascii="Arial" w:hAnsi="Arial" w:cs="Arial"/>
          <w:sz w:val="16"/>
          <w:szCs w:val="16"/>
        </w:rPr>
        <w:t>En el presente informe se utilizan diferentes cifras de afiliación de Capital Salud EPS-S, las cuales corresponden a fuentes, cortes de información y propósitos analíticos distintos; por tanto, no deben interpretarse como inconsistencias, sino como denominadores específicos según la dimensión evaluada. La cifra de **900.152 afiliados** corresponde al análisis general de aseguramiento en Bogotá, con base en la BDUA-ADRES con corte a diciembre de 2025, e incluye población de los regímenes contributivo y subsidiado reportada para la ciudad. La cifra de **881.936 afiliados** corresponde a la distribución territorial consolidada de Capital Salud EPS-S en Bogotá dentro del total nacional de la EPS, utilizada para analizar la participación de Bogotá frente a los demás territorios de operación. La cifra de **881.958 afiliados** se emplea como denominador para el análisis de PQRS gestionadas por la Subdirección de Garantía del Aseguramiento, de acuerdo con la base Bogotá Te Escucha y el Sistema de Información para el Monitoreo del Acceso —SIDMA—. La cifra de **898.109 afiliados** corresponde a la población asignada por localidad reportada por Capital Salud EPS-S para el análisis de red farmacéutica y puntos de dispensación, con corte al 30 de abril de 2026 y sin incluir registros en portabilidad, según la información remitida por la EPS. Finalmente, la cifra de **820.349 afiliados** corresponde al universo del régimen subsidiado utilizado para cruces específicos de Sisbén, caracterización de población subsidiada y análisis asociados a condiciones de vulnerabilidad. En consecuencia, cada cifra debe leerse en función de la fuente, corte y uso metodológico señalado en la tabla o apartado correspondiente.</w:t>
      </w:r>
    </w:p>
  </w:footnote>
  <w:footnote w:id="2">
    <w:p w14:paraId="559DB9C7" w14:textId="77777777" w:rsidR="0089421B" w:rsidRPr="00181396" w:rsidRDefault="0089421B" w:rsidP="00181396">
      <w:pPr>
        <w:pStyle w:val="Textonotapie"/>
        <w:spacing w:line="360" w:lineRule="auto"/>
        <w:jc w:val="both"/>
        <w:rPr>
          <w:rFonts w:ascii="Arial" w:hAnsi="Arial" w:cs="Arial"/>
          <w:sz w:val="16"/>
          <w:szCs w:val="16"/>
          <w:lang w:val="es-ES"/>
        </w:rPr>
      </w:pPr>
      <w:r w:rsidRPr="00181396">
        <w:rPr>
          <w:rStyle w:val="Refdenotaalpie"/>
          <w:rFonts w:ascii="Arial" w:hAnsi="Arial" w:cs="Arial"/>
          <w:sz w:val="16"/>
          <w:szCs w:val="16"/>
          <w:lang w:val="es-ES"/>
        </w:rPr>
        <w:footnoteRef/>
      </w:r>
      <w:r w:rsidRPr="00181396">
        <w:rPr>
          <w:rFonts w:ascii="Arial" w:hAnsi="Arial" w:cs="Arial"/>
          <w:sz w:val="16"/>
          <w:szCs w:val="16"/>
          <w:lang w:val="es-ES"/>
        </w:rPr>
        <w:t xml:space="preserve"> BDUA –ADRES 31 diciembre de 2025</w:t>
      </w:r>
    </w:p>
  </w:footnote>
  <w:footnote w:id="3">
    <w:p w14:paraId="1EECF178" w14:textId="7BFF5A4D" w:rsidR="0089421B" w:rsidRPr="00DB34A9" w:rsidRDefault="0089421B" w:rsidP="0089421B">
      <w:pPr>
        <w:pStyle w:val="Textonotapie"/>
        <w:spacing w:line="360" w:lineRule="auto"/>
        <w:jc w:val="both"/>
        <w:rPr>
          <w:rFonts w:ascii="Arial" w:hAnsi="Arial" w:cs="Arial"/>
          <w:sz w:val="16"/>
          <w:szCs w:val="16"/>
        </w:rPr>
      </w:pPr>
      <w:r w:rsidRPr="00DB34A9">
        <w:rPr>
          <w:rStyle w:val="Refdenotaalpie"/>
          <w:rFonts w:ascii="Arial" w:hAnsi="Arial" w:cs="Arial"/>
          <w:sz w:val="16"/>
          <w:szCs w:val="16"/>
        </w:rPr>
        <w:footnoteRef/>
      </w:r>
      <w:r w:rsidRPr="00DB34A9">
        <w:rPr>
          <w:rFonts w:ascii="Arial" w:hAnsi="Arial" w:cs="Arial"/>
          <w:sz w:val="16"/>
          <w:szCs w:val="16"/>
        </w:rPr>
        <w:t xml:space="preserve"> </w:t>
      </w:r>
      <w:r w:rsidR="00BB7BFC" w:rsidRPr="00BB7BFC">
        <w:rPr>
          <w:rFonts w:ascii="Arial" w:hAnsi="Arial" w:cs="Arial"/>
          <w:sz w:val="16"/>
          <w:szCs w:val="16"/>
        </w:rPr>
        <w:t>Para el año 2025, con corte a 31 de diciembre, y de acuerdo con la BDUA, Bogotá registra un total de **8.021.580 afiliados** al Sistema General de Seguridad Social en Salud, cifra que supera la proyección poblacional del DANE estimada en **7.937.898 habitantes**. Lo anterior corresponde a una **cobertura administrativa superior al 100%, aproximadamente del 101,1%**, comportamiento que puede explicarse por dinámicas propias del sistema de aseguramiento, tales como movilidad entre territorios, fenómenos migratorios, afiliaciones múltiples, actualización de novedades y diferencias en los procesos de depuración de las bases administrativas. En consecuencia, este indicador debe interpretarse como una cobertura administrativa del aseguramiento y no como una cobertura poblacional efectiva estrictamente equivalente al 100% de la población residente.</w:t>
      </w:r>
    </w:p>
  </w:footnote>
  <w:footnote w:id="4">
    <w:p w14:paraId="6DF373DE" w14:textId="3AAA8E70" w:rsidR="009F762E" w:rsidRDefault="00000000">
      <w:pPr>
        <w:pStyle w:val="Textonotapie"/>
        <w:spacing w:line="360" w:lineRule="auto"/>
        <w:jc w:val="both"/>
        <w:rPr>
          <w:rFonts w:ascii="Arial" w:hAnsi="Arial" w:cs="Arial"/>
          <w:sz w:val="16"/>
          <w:szCs w:val="16"/>
        </w:rPr>
      </w:pPr>
      <w:r>
        <w:rPr>
          <w:rStyle w:val="FootnoteCharacters"/>
        </w:rPr>
        <w:footnoteRef/>
      </w:r>
      <w:r>
        <w:rPr>
          <w:rFonts w:ascii="Arial" w:hAnsi="Arial" w:cs="Arial"/>
          <w:sz w:val="16"/>
          <w:szCs w:val="16"/>
        </w:rPr>
        <w:t xml:space="preserve"> El reporte de Reclamos en salud se construye a partir de dos fuentes de información: la base de reclamos radicados ante la SNS y la Base de Datos Única de Afiliados- BDUA que contiene la información de afiliados al Sistema General de Seguridad Social en Salud publicada a través del cubo SISPRO_BDUA. Para el caso de esta segunda fuente de información se tienen en cuenta los afiliados que presentan los siguientes estados: activo, protección laboral, suspendido, suspendido por documento y suspendido por mora; así como los afiliados que se encuentran en movilidad. Lo anterior, considerando los Decretos 3047-2013 y 2635-2014. Superintendencia de salud – consultado el 23 de </w:t>
      </w:r>
      <w:r w:rsidR="00F402B8">
        <w:rPr>
          <w:rFonts w:ascii="Arial" w:hAnsi="Arial" w:cs="Arial"/>
          <w:sz w:val="16"/>
          <w:szCs w:val="16"/>
        </w:rPr>
        <w:t xml:space="preserve">junio </w:t>
      </w:r>
      <w:r>
        <w:rPr>
          <w:rFonts w:ascii="Arial" w:hAnsi="Arial" w:cs="Arial"/>
          <w:sz w:val="16"/>
          <w:szCs w:val="16"/>
        </w:rPr>
        <w:t xml:space="preserve">de 2025 en: </w:t>
      </w:r>
      <w:hyperlink r:id="rId1">
        <w:r>
          <w:rPr>
            <w:rStyle w:val="Hipervnculo"/>
            <w:rFonts w:ascii="Arial" w:hAnsi="Arial" w:cs="Arial"/>
            <w:sz w:val="16"/>
            <w:szCs w:val="16"/>
          </w:rPr>
          <w:t>https://docs.supersalud.gov.co/PortalWeb/metodologias/OtrosDocumentosMetodologias/Abec%C3%A9%20reporte%20PQRD.pdf</w:t>
        </w:r>
      </w:hyperlink>
    </w:p>
  </w:footnote>
  <w:footnote w:id="5">
    <w:p w14:paraId="4AA9BA5E" w14:textId="73462944" w:rsidR="00D33C9C" w:rsidRPr="00D33C9C" w:rsidRDefault="00D33C9C" w:rsidP="00D33C9C">
      <w:pPr>
        <w:pStyle w:val="Textonotapie"/>
        <w:spacing w:line="360" w:lineRule="auto"/>
        <w:jc w:val="both"/>
        <w:rPr>
          <w:rFonts w:ascii="Arial" w:hAnsi="Arial" w:cs="Arial"/>
          <w:sz w:val="16"/>
          <w:szCs w:val="16"/>
        </w:rPr>
      </w:pPr>
      <w:r>
        <w:rPr>
          <w:rStyle w:val="Refdenotaalpie"/>
        </w:rPr>
        <w:footnoteRef/>
      </w:r>
      <w:r>
        <w:t xml:space="preserve"> </w:t>
      </w:r>
      <w:r w:rsidRPr="00D33C9C">
        <w:t xml:space="preserve">**Nota </w:t>
      </w:r>
      <w:r w:rsidR="000236A3" w:rsidRPr="00D33C9C">
        <w:t>metodológica: *</w:t>
      </w:r>
      <w:r w:rsidRPr="00D33C9C">
        <w:t xml:space="preserve">* La categoría </w:t>
      </w:r>
      <w:r w:rsidRPr="00D33C9C">
        <w:rPr>
          <w:rFonts w:ascii="Arial" w:hAnsi="Arial" w:cs="Arial"/>
          <w:sz w:val="16"/>
          <w:szCs w:val="16"/>
        </w:rPr>
        <w:t>**“OTRAS_CATEGORÍAS_NO_ESPECIFICADAS_EN_LA_</w:t>
      </w:r>
      <w:proofErr w:type="gramStart"/>
      <w:r w:rsidRPr="00D33C9C">
        <w:rPr>
          <w:rFonts w:ascii="Arial" w:hAnsi="Arial" w:cs="Arial"/>
          <w:sz w:val="16"/>
          <w:szCs w:val="16"/>
        </w:rPr>
        <w:t>FUENTE”*</w:t>
      </w:r>
      <w:proofErr w:type="gramEnd"/>
      <w:r w:rsidRPr="00D33C9C">
        <w:rPr>
          <w:rFonts w:ascii="Arial" w:hAnsi="Arial" w:cs="Arial"/>
          <w:sz w:val="16"/>
          <w:szCs w:val="16"/>
        </w:rPr>
        <w:t>* agrupa categorías residuales no individualizadas en la fuente suministrada. Su inclusión permite conservar la consistencia del total de PQRS analizadas y garantizar que la suma de las categorías corresponda al 100% de las manifestaciones registradas. Por tanto, esta agrupación no debe interpretarse como una barrera única o específica, sino como un conjunto de registros que, por su baja frecuencia relativa, nivel de agregación o ausencia de desagregación en la base fuente, no fueron presentados de manera independiente en la tabla.</w:t>
      </w:r>
    </w:p>
  </w:footnote>
  <w:footnote w:id="6">
    <w:p w14:paraId="389C2207" w14:textId="3819F9AC" w:rsidR="008F5EC1" w:rsidRPr="008F5EC1" w:rsidRDefault="008F5EC1" w:rsidP="008F5EC1">
      <w:pPr>
        <w:pStyle w:val="Textonotapie"/>
        <w:spacing w:line="360" w:lineRule="auto"/>
        <w:jc w:val="both"/>
        <w:rPr>
          <w:rFonts w:ascii="Arial" w:hAnsi="Arial" w:cs="Arial"/>
          <w:sz w:val="16"/>
          <w:szCs w:val="16"/>
        </w:rPr>
      </w:pPr>
      <w:r w:rsidRPr="008F5EC1">
        <w:rPr>
          <w:rStyle w:val="Refdenotaalpie"/>
          <w:rFonts w:ascii="Arial" w:hAnsi="Arial" w:cs="Arial"/>
          <w:sz w:val="16"/>
          <w:szCs w:val="16"/>
        </w:rPr>
        <w:footnoteRef/>
      </w:r>
      <w:r w:rsidRPr="008F5EC1">
        <w:rPr>
          <w:rFonts w:ascii="Arial" w:hAnsi="Arial" w:cs="Arial"/>
          <w:sz w:val="16"/>
          <w:szCs w:val="16"/>
        </w:rPr>
        <w:t xml:space="preserve"> </w:t>
      </w:r>
      <w:r w:rsidRPr="008F5EC1">
        <w:rPr>
          <w:rFonts w:ascii="Arial" w:hAnsi="Arial" w:cs="Arial"/>
          <w:sz w:val="16"/>
          <w:szCs w:val="16"/>
        </w:rPr>
        <w:t>Fuente: Elaboración propia con base en información RUAF–SIVIGILA, vigencia 2025; análisis de mortalidad materna Capital Salud EPS-S; razón de mortalidad materna preliminar de Bogotá, D. C., reportada a diciembre de 2025; resultados de auditoría GAUDI e IVS de Capital Salud EPS-S, vigencia 2025; presentación “Resultados GAUDI Capital Salud EPS”, mayo de 2026; y Guía de Auditoría Institucional GAUDI, versión 05, Superintendencia Nacional de Salud, mayo de 2025.</w:t>
      </w:r>
    </w:p>
  </w:footnote>
  <w:footnote w:id="7">
    <w:p w14:paraId="088E7C03" w14:textId="40BF21E6" w:rsidR="00CF1951" w:rsidRPr="00CF1951" w:rsidRDefault="00CF1951" w:rsidP="00CF1951">
      <w:pPr>
        <w:pStyle w:val="Textonotapie"/>
        <w:spacing w:line="360" w:lineRule="auto"/>
        <w:jc w:val="both"/>
        <w:rPr>
          <w:rFonts w:ascii="Arial" w:hAnsi="Arial" w:cs="Arial"/>
        </w:rPr>
      </w:pPr>
      <w:r w:rsidRPr="00CF1951">
        <w:rPr>
          <w:rStyle w:val="Refdenotaalpie"/>
          <w:rFonts w:ascii="Arial" w:hAnsi="Arial" w:cs="Arial"/>
          <w:sz w:val="16"/>
          <w:szCs w:val="16"/>
        </w:rPr>
        <w:footnoteRef/>
      </w:r>
      <w:r w:rsidRPr="00CF1951">
        <w:rPr>
          <w:rFonts w:ascii="Arial" w:hAnsi="Arial" w:cs="Arial"/>
          <w:sz w:val="16"/>
          <w:szCs w:val="16"/>
        </w:rPr>
        <w:t xml:space="preserve"> </w:t>
      </w:r>
      <w:r w:rsidRPr="00CF1951">
        <w:rPr>
          <w:rFonts w:ascii="Arial" w:hAnsi="Arial" w:cs="Arial"/>
          <w:sz w:val="16"/>
          <w:szCs w:val="16"/>
        </w:rPr>
        <w:t>Nota aclaratoria: Los números decimales que anteceden cada causa, como 4,04, 6,13, 4,05 o 1,08, corresponden a códigos de la lista de causas agrupadas 6/67 OMS/OPS basada en CIE-10, utilizada para clasificar la causa básica de defunción en estadísticas vitales. Estos códigos no representan tasas, porcentajes ni valores numéricos del evento; son identificadores técnicos del grupo y subgrupo de causa de muerte. La interpretación epidemiológica de la tabla debe realizarse a partir de las columnas Casos y Proporción.</w:t>
      </w:r>
    </w:p>
  </w:footnote>
  <w:footnote w:id="8">
    <w:p w14:paraId="05BA5303" w14:textId="66748A43" w:rsidR="00AF7C86" w:rsidRPr="00AF7C86" w:rsidRDefault="00AF7C86" w:rsidP="00AF7C86">
      <w:pPr>
        <w:pStyle w:val="Textonotapie"/>
        <w:spacing w:line="360" w:lineRule="auto"/>
        <w:jc w:val="both"/>
        <w:rPr>
          <w:rFonts w:ascii="Arial" w:hAnsi="Arial" w:cs="Arial"/>
          <w:sz w:val="16"/>
          <w:szCs w:val="16"/>
        </w:rPr>
      </w:pPr>
      <w:r w:rsidRPr="00AF7C86">
        <w:rPr>
          <w:rStyle w:val="Refdenotaalpie"/>
          <w:rFonts w:ascii="Arial" w:hAnsi="Arial" w:cs="Arial"/>
          <w:sz w:val="16"/>
          <w:szCs w:val="16"/>
        </w:rPr>
        <w:footnoteRef/>
      </w:r>
      <w:r w:rsidRPr="00AF7C86">
        <w:rPr>
          <w:rFonts w:ascii="Arial" w:hAnsi="Arial" w:cs="Arial"/>
          <w:sz w:val="16"/>
          <w:szCs w:val="16"/>
        </w:rPr>
        <w:t xml:space="preserve"> </w:t>
      </w:r>
      <w:r w:rsidRPr="00AF7C86">
        <w:rPr>
          <w:rFonts w:ascii="Arial" w:hAnsi="Arial" w:cs="Arial"/>
          <w:sz w:val="16"/>
          <w:szCs w:val="16"/>
        </w:rPr>
        <w:t xml:space="preserve">**Nota </w:t>
      </w:r>
      <w:r w:rsidR="000C5813" w:rsidRPr="00AF7C86">
        <w:rPr>
          <w:rFonts w:ascii="Arial" w:hAnsi="Arial" w:cs="Arial"/>
          <w:sz w:val="16"/>
          <w:szCs w:val="16"/>
        </w:rPr>
        <w:t>aclaratoria: *</w:t>
      </w:r>
      <w:r w:rsidRPr="00AF7C86">
        <w:rPr>
          <w:rFonts w:ascii="Arial" w:hAnsi="Arial" w:cs="Arial"/>
          <w:sz w:val="16"/>
          <w:szCs w:val="16"/>
        </w:rPr>
        <w:t>* Para efectos de interpretación del presente capítulo, debe diferenciarse entre los **biológicos trazadores infantiles del esquema permanente del Programa Ampliado de Inmunizaciones —PAI—** y las **estrategias específicas de vacunación dirigidas a grupos de riesgo o cohortes priorizadas**. La afirmación de incumplimiento frente a la meta mínima esperada del **95%** aplica a los biológicos trazadores infantiles evaluados en la Tabla 14, tales como pentavalente tercera dosis, triple viral primera dosis, refuerzo triple viral, fiebre amarilla a los 18 meses y refuerzo DPT a los cinco años, los cuales presentaron coberturas inferiores a dicha meta.</w:t>
      </w:r>
    </w:p>
    <w:p w14:paraId="580F46F9" w14:textId="77777777" w:rsidR="00AF7C86" w:rsidRPr="00AF7C86" w:rsidRDefault="00AF7C86" w:rsidP="00AF7C86">
      <w:pPr>
        <w:pStyle w:val="Textonotapie"/>
        <w:spacing w:line="360" w:lineRule="auto"/>
        <w:jc w:val="both"/>
        <w:rPr>
          <w:rFonts w:ascii="Arial" w:hAnsi="Arial" w:cs="Arial"/>
          <w:sz w:val="16"/>
          <w:szCs w:val="16"/>
        </w:rPr>
      </w:pPr>
    </w:p>
    <w:p w14:paraId="6EF51CE7" w14:textId="5D2290BA" w:rsidR="00AF7C86" w:rsidRDefault="00AF7C86" w:rsidP="00AF7C86">
      <w:pPr>
        <w:pStyle w:val="Textonotapie"/>
        <w:spacing w:line="360" w:lineRule="auto"/>
        <w:jc w:val="both"/>
      </w:pPr>
      <w:r w:rsidRPr="00AF7C86">
        <w:rPr>
          <w:rFonts w:ascii="Arial" w:hAnsi="Arial" w:cs="Arial"/>
          <w:sz w:val="16"/>
          <w:szCs w:val="16"/>
        </w:rPr>
        <w:t>En contraste, los resultados mencionados posteriormente para **influenza estacional**, incluyendo coberturas del **100%** en primera dosis de influenza en menores de un año y en población con patologías crónicas, corresponden a una estrategia específica de vacunación por grupo poblacional o condición de riesgo, y no deben interpretarse como parte del mismo bloque de biológicos trazadores infantiles de la Tabla 14. Por tanto, aunque existen resultados favorables en algunos grupos específicos de vacunación contra influenza, estos no modifican la conclusión sobre el incumplimiento de las coberturas trazadoras infantiles del PAI frente a la meta programática del 95%.</w:t>
      </w:r>
    </w:p>
  </w:footnote>
  <w:footnote w:id="9">
    <w:p w14:paraId="669473E9" w14:textId="3F831B83" w:rsidR="008A1716" w:rsidRPr="008A1716" w:rsidRDefault="00E82746" w:rsidP="008A1716">
      <w:pPr>
        <w:pStyle w:val="Textonotapie"/>
        <w:spacing w:line="360" w:lineRule="auto"/>
        <w:jc w:val="both"/>
        <w:rPr>
          <w:rFonts w:ascii="Arial" w:hAnsi="Arial" w:cs="Arial"/>
          <w:sz w:val="16"/>
          <w:szCs w:val="16"/>
        </w:rPr>
      </w:pPr>
      <w:r w:rsidRPr="00E82746">
        <w:rPr>
          <w:rStyle w:val="Refdenotaalpie"/>
          <w:rFonts w:ascii="Arial" w:hAnsi="Arial" w:cs="Arial"/>
          <w:sz w:val="16"/>
          <w:szCs w:val="16"/>
        </w:rPr>
        <w:footnoteRef/>
      </w:r>
      <w:r w:rsidRPr="00E82746">
        <w:rPr>
          <w:rFonts w:ascii="Arial" w:hAnsi="Arial" w:cs="Arial"/>
          <w:sz w:val="16"/>
          <w:szCs w:val="16"/>
        </w:rPr>
        <w:t xml:space="preserve"> </w:t>
      </w:r>
      <w:r w:rsidR="008A1716" w:rsidRPr="008A1716">
        <w:rPr>
          <w:rFonts w:ascii="Arial" w:hAnsi="Arial" w:cs="Arial"/>
          <w:sz w:val="16"/>
          <w:szCs w:val="16"/>
        </w:rPr>
        <w:t xml:space="preserve">**Nota metodológica sobre fiebre </w:t>
      </w:r>
      <w:r w:rsidR="008A1716" w:rsidRPr="008A1716">
        <w:rPr>
          <w:rFonts w:ascii="Arial" w:hAnsi="Arial" w:cs="Arial"/>
          <w:sz w:val="16"/>
          <w:szCs w:val="16"/>
        </w:rPr>
        <w:t>amarilla: *</w:t>
      </w:r>
      <w:r w:rsidR="008A1716" w:rsidRPr="008A1716">
        <w:rPr>
          <w:rFonts w:ascii="Arial" w:hAnsi="Arial" w:cs="Arial"/>
          <w:sz w:val="16"/>
          <w:szCs w:val="16"/>
        </w:rPr>
        <w:t>* La información de fiebre amarilla debe interpretarse diferenciando dos mediciones que corresponden a universos y propósitos distintos. El dato de **90,0%** presentado en la **Tabla 14** corresponde a la cobertura de **fiebre amarilla a los 18 meses**, como biológico trazador del esquema infantil evaluado por el Programa Ampliado de Inmunizaciones —PAI— para la vigencia 2025. Por tanto, este indicador se refiere a una cohorte específica del esquema regular de vacunación.</w:t>
      </w:r>
    </w:p>
    <w:p w14:paraId="682F9021" w14:textId="77777777" w:rsidR="008A1716" w:rsidRPr="008A1716" w:rsidRDefault="008A1716" w:rsidP="008A1716">
      <w:pPr>
        <w:pStyle w:val="Textonotapie"/>
        <w:spacing w:line="360" w:lineRule="auto"/>
        <w:jc w:val="both"/>
        <w:rPr>
          <w:rFonts w:ascii="Arial" w:hAnsi="Arial" w:cs="Arial"/>
          <w:sz w:val="16"/>
          <w:szCs w:val="16"/>
        </w:rPr>
      </w:pPr>
    </w:p>
    <w:p w14:paraId="03B91DB4" w14:textId="77777777" w:rsidR="008A1716" w:rsidRPr="008A1716" w:rsidRDefault="008A1716" w:rsidP="008A1716">
      <w:pPr>
        <w:pStyle w:val="Textonotapie"/>
        <w:spacing w:line="360" w:lineRule="auto"/>
        <w:jc w:val="both"/>
        <w:rPr>
          <w:rFonts w:ascii="Arial" w:hAnsi="Arial" w:cs="Arial"/>
          <w:sz w:val="16"/>
          <w:szCs w:val="16"/>
        </w:rPr>
      </w:pPr>
      <w:r w:rsidRPr="008A1716">
        <w:rPr>
          <w:rFonts w:ascii="Arial" w:hAnsi="Arial" w:cs="Arial"/>
          <w:sz w:val="16"/>
          <w:szCs w:val="16"/>
        </w:rPr>
        <w:t>En contraste, el porcentaje de **75,9%** mencionado posteriormente corresponde a una medición acumulada o estrategia ampliada de vacunación contra fiebre amarilla, asociada a una población objetivo diferente, posiblemente relacionada con cohortes más amplias o población susceptible priorizada. Asimismo, los datos absolutos reportados de **53.581 personas como meta**, **1.759 vacunadas** y **51.822 pendientes** generan una cobertura calculada aproximada de **3,3%**, lo cual no es consistente con el porcentaje de 75,9%.</w:t>
      </w:r>
    </w:p>
    <w:p w14:paraId="6FB54274" w14:textId="77777777" w:rsidR="008A1716" w:rsidRPr="008A1716" w:rsidRDefault="008A1716" w:rsidP="008A1716">
      <w:pPr>
        <w:pStyle w:val="Textonotapie"/>
        <w:spacing w:line="360" w:lineRule="auto"/>
        <w:jc w:val="both"/>
        <w:rPr>
          <w:rFonts w:ascii="Arial" w:hAnsi="Arial" w:cs="Arial"/>
          <w:sz w:val="16"/>
          <w:szCs w:val="16"/>
        </w:rPr>
      </w:pPr>
    </w:p>
    <w:p w14:paraId="17C34199" w14:textId="77777777" w:rsidR="008A1716" w:rsidRPr="008A1716" w:rsidRDefault="008A1716" w:rsidP="008A1716">
      <w:pPr>
        <w:pStyle w:val="Textonotapie"/>
        <w:spacing w:line="360" w:lineRule="auto"/>
        <w:jc w:val="both"/>
        <w:rPr>
          <w:rFonts w:ascii="Arial" w:hAnsi="Arial" w:cs="Arial"/>
          <w:sz w:val="16"/>
          <w:szCs w:val="16"/>
        </w:rPr>
      </w:pPr>
      <w:r w:rsidRPr="008A1716">
        <w:rPr>
          <w:rFonts w:ascii="Arial" w:hAnsi="Arial" w:cs="Arial"/>
          <w:sz w:val="16"/>
          <w:szCs w:val="16"/>
        </w:rPr>
        <w:t>Esta diferencia puede obedecer a que los datos corresponden a fuentes, cortes, cohortes o denominadores distintos; por ejemplo, esquema infantil de 18 meses, estrategia acumulada por cohortes 2006–2022, población susceptible, población priorizada o registros nominales pendientes de depuración. También puede estar asociada a rezagos en el cargue de información, duplicidad de registros, diferencias entre población asignada y población objeto, o inconsistencias en la consolidación de la base.</w:t>
      </w:r>
    </w:p>
    <w:p w14:paraId="38B83BF6" w14:textId="77777777" w:rsidR="008A1716" w:rsidRPr="008A1716" w:rsidRDefault="008A1716" w:rsidP="008A1716">
      <w:pPr>
        <w:pStyle w:val="Textonotapie"/>
        <w:spacing w:line="360" w:lineRule="auto"/>
        <w:jc w:val="both"/>
        <w:rPr>
          <w:rFonts w:ascii="Arial" w:hAnsi="Arial" w:cs="Arial"/>
          <w:sz w:val="16"/>
          <w:szCs w:val="16"/>
        </w:rPr>
      </w:pPr>
    </w:p>
    <w:p w14:paraId="721473DD" w14:textId="14FCFBCB" w:rsidR="00E82746" w:rsidRPr="00E82746" w:rsidRDefault="008A1716" w:rsidP="008A1716">
      <w:pPr>
        <w:pStyle w:val="Textonotapie"/>
        <w:spacing w:line="360" w:lineRule="auto"/>
        <w:jc w:val="both"/>
        <w:rPr>
          <w:rFonts w:ascii="Arial" w:hAnsi="Arial" w:cs="Arial"/>
        </w:rPr>
      </w:pPr>
      <w:r w:rsidRPr="008A1716">
        <w:rPr>
          <w:rFonts w:ascii="Arial" w:hAnsi="Arial" w:cs="Arial"/>
          <w:sz w:val="16"/>
          <w:szCs w:val="16"/>
        </w:rPr>
        <w:t xml:space="preserve">En consecuencia, el dato de **90,0%** debe conservarse únicamente como cobertura del biológico trazador de fiebre amarilla a los 18 meses, mientras que el dato de **75,9%** y los valores absolutos de **53.581, 1.759 y 51.822** deben presentarse como información pendiente de validación </w:t>
      </w:r>
      <w:proofErr w:type="gramStart"/>
      <w:r w:rsidRPr="008A1716">
        <w:rPr>
          <w:rFonts w:ascii="Arial" w:hAnsi="Arial" w:cs="Arial"/>
          <w:sz w:val="16"/>
          <w:szCs w:val="16"/>
        </w:rPr>
        <w:t>metodológica</w:t>
      </w:r>
      <w:r>
        <w:rPr>
          <w:rFonts w:ascii="Arial" w:hAnsi="Arial" w:cs="Arial"/>
          <w:sz w:val="16"/>
          <w:szCs w:val="16"/>
        </w:rPr>
        <w:t>.</w:t>
      </w:r>
      <w:r w:rsidRPr="008A1716">
        <w:rPr>
          <w:rFonts w:ascii="Arial" w:hAnsi="Arial" w:cs="Arial"/>
          <w:sz w:val="16"/>
          <w:szCs w:val="16"/>
        </w:rPr>
        <w:t>.</w:t>
      </w:r>
      <w:proofErr w:type="gramEnd"/>
    </w:p>
  </w:footnote>
  <w:footnote w:id="10">
    <w:p w14:paraId="2CABEE69" w14:textId="6CB917EC" w:rsidR="00FE016F" w:rsidRPr="00FE016F" w:rsidRDefault="00FE016F" w:rsidP="00FE016F">
      <w:pPr>
        <w:pStyle w:val="Textonotapie"/>
        <w:spacing w:line="360" w:lineRule="auto"/>
        <w:jc w:val="both"/>
        <w:rPr>
          <w:rFonts w:ascii="Arial" w:hAnsi="Arial" w:cs="Arial"/>
          <w:sz w:val="16"/>
          <w:szCs w:val="16"/>
        </w:rPr>
      </w:pPr>
      <w:r w:rsidRPr="00FE016F">
        <w:rPr>
          <w:rStyle w:val="Refdenotaalpie"/>
          <w:rFonts w:ascii="Arial" w:hAnsi="Arial" w:cs="Arial"/>
          <w:sz w:val="16"/>
          <w:szCs w:val="16"/>
        </w:rPr>
        <w:footnoteRef/>
      </w:r>
      <w:r w:rsidRPr="00FE016F">
        <w:rPr>
          <w:rFonts w:ascii="Arial" w:hAnsi="Arial" w:cs="Arial"/>
          <w:sz w:val="16"/>
          <w:szCs w:val="16"/>
        </w:rPr>
        <w:t xml:space="preserve"> </w:t>
      </w:r>
      <w:r w:rsidRPr="00FE016F">
        <w:rPr>
          <w:rFonts w:ascii="Arial" w:hAnsi="Arial" w:cs="Arial"/>
          <w:sz w:val="16"/>
          <w:szCs w:val="16"/>
        </w:rPr>
        <w:t xml:space="preserve"> El Grupo GAMA (Grupo de Apoyo y Monitoreo a la Atención) es un equipo de la Secretaría Distrital de Salud de Bogotá que apoya el monitoreo de la atención y la gestión operativa para mejorar el acceso efectivo y la continuidad asistencial, incluyendo acciones de apoyo a prestadores y seguimiento de casos en el marco de estrategias distritales. En escenarios de presión hospitalaria, se le reconoce además un rol en la optimización del uso de camas mediante la articulación de traslados/flujo asistencial (p. ej., de UCI a niveles de menor complejidad y a modalidades como atención domiciliaria), contribuyendo a descongestionar la red. Consultado en https://www.saludcapital.gov.co/Paginas2/Noticia_Portal_Detalle.aspx?IP=2507; https://www.saludcapital.gov.co/DCRUE/paginas/informacion_crue.aspx; https://anmdecolombia.org.co/el-secretario-distrital-de-salud-responde-en-la-academia-a-temas-coyunturales-sobre-salud-en-la-capital/; </w:t>
      </w:r>
      <w:hyperlink r:id="rId2" w:history="1">
        <w:r w:rsidRPr="009E51C5">
          <w:rPr>
            <w:rStyle w:val="Hipervnculo"/>
            <w:rFonts w:ascii="Arial" w:hAnsi="Arial" w:cs="Arial"/>
            <w:sz w:val="16"/>
            <w:szCs w:val="16"/>
          </w:rPr>
          <w:t>https://www.saludcapital.gov.co/Salud_info/Proy_salud_materno.pdf</w:t>
        </w:r>
      </w:hyperlink>
    </w:p>
  </w:footnote>
  <w:footnote w:id="11">
    <w:p w14:paraId="18C06789" w14:textId="7B6A720E" w:rsidR="00D740ED" w:rsidRPr="00D740ED" w:rsidRDefault="00D740ED" w:rsidP="00D740ED">
      <w:pPr>
        <w:pStyle w:val="Textonotapie"/>
        <w:spacing w:line="360" w:lineRule="auto"/>
        <w:jc w:val="both"/>
        <w:rPr>
          <w:rFonts w:ascii="Arial" w:hAnsi="Arial" w:cs="Arial"/>
        </w:rPr>
      </w:pPr>
      <w:r w:rsidRPr="00D740ED">
        <w:rPr>
          <w:rStyle w:val="Refdenotaalpie"/>
          <w:rFonts w:ascii="Arial" w:hAnsi="Arial" w:cs="Arial"/>
          <w:sz w:val="16"/>
          <w:szCs w:val="16"/>
        </w:rPr>
        <w:footnoteRef/>
      </w:r>
      <w:r w:rsidRPr="00D740ED">
        <w:rPr>
          <w:rFonts w:ascii="Arial" w:hAnsi="Arial" w:cs="Arial"/>
          <w:sz w:val="16"/>
          <w:szCs w:val="16"/>
        </w:rPr>
        <w:t xml:space="preserve"> </w:t>
      </w:r>
      <w:r w:rsidRPr="00D740ED">
        <w:rPr>
          <w:rFonts w:ascii="Arial" w:hAnsi="Arial" w:cs="Arial"/>
          <w:sz w:val="16"/>
          <w:szCs w:val="16"/>
        </w:rPr>
        <w:t>los casos se encuentran asociados operativamente a barreras de disponibilidad, gestión de camas, referencia, remisión, traslado e interconsulta, según el seguimiento realizado por GAMA, sin atribuir una causa principal única salvo que la base fuente cuente con un campo específico que así lo soporte.</w:t>
      </w:r>
    </w:p>
  </w:footnote>
  <w:footnote w:id="12">
    <w:p w14:paraId="0317437A" w14:textId="33B37DB0" w:rsidR="006B01C8" w:rsidRPr="006B01C8" w:rsidRDefault="006B01C8" w:rsidP="006B01C8">
      <w:pPr>
        <w:pStyle w:val="Textonotapie"/>
        <w:spacing w:line="360" w:lineRule="auto"/>
        <w:jc w:val="both"/>
        <w:rPr>
          <w:rFonts w:ascii="Arial" w:hAnsi="Arial" w:cs="Arial"/>
        </w:rPr>
      </w:pPr>
      <w:r w:rsidRPr="006B01C8">
        <w:rPr>
          <w:rStyle w:val="Refdenotaalpie"/>
          <w:rFonts w:ascii="Arial" w:hAnsi="Arial" w:cs="Arial"/>
          <w:sz w:val="16"/>
          <w:szCs w:val="16"/>
        </w:rPr>
        <w:footnoteRef/>
      </w:r>
      <w:r w:rsidRPr="006B01C8">
        <w:rPr>
          <w:rFonts w:ascii="Arial" w:hAnsi="Arial" w:cs="Arial"/>
          <w:sz w:val="16"/>
          <w:szCs w:val="16"/>
        </w:rPr>
        <w:t xml:space="preserve"> </w:t>
      </w:r>
      <w:r w:rsidRPr="006B01C8">
        <w:rPr>
          <w:rFonts w:ascii="Arial" w:hAnsi="Arial" w:cs="Arial"/>
          <w:sz w:val="16"/>
          <w:szCs w:val="16"/>
        </w:rPr>
        <w:t>Nota metodológica: Los porcentajes mensuales corresponden a la relación entre medicamentos pendientes sin entrega efectiva y medicamentos pendientes de cada cohorte para el mes respectivo. La última columna no corresponde a un promedio simple mensual, sino al porcentaje acumulado del periodo enero-octubre de 2025, calculado como el total de medicamentos pendientes sin entrega efectiva dividido entre el total de medicamentos pendientes de la cohorte durante el periodo evaluado.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10E77"/>
    <w:multiLevelType w:val="multilevel"/>
    <w:tmpl w:val="605E8B40"/>
    <w:lvl w:ilvl="0">
      <w:start w:val="1"/>
      <w:numFmt w:val="bullet"/>
      <w:lvlText w:val="Ø"/>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FF010AC"/>
    <w:multiLevelType w:val="hybridMultilevel"/>
    <w:tmpl w:val="8460E34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7931BC4"/>
    <w:multiLevelType w:val="multilevel"/>
    <w:tmpl w:val="1DEAE69A"/>
    <w:lvl w:ilvl="0">
      <w:start w:val="1"/>
      <w:numFmt w:val="decimal"/>
      <w:lvlText w:val="%1."/>
      <w:lvlJc w:val="left"/>
      <w:pPr>
        <w:tabs>
          <w:tab w:val="num" w:pos="0"/>
        </w:tabs>
        <w:ind w:left="360" w:hanging="360"/>
      </w:pPr>
      <w:rPr>
        <w:rFonts w:hint="default"/>
        <w:b/>
        <w:bCs/>
      </w:rPr>
    </w:lvl>
    <w:lvl w:ilvl="1">
      <w:start w:val="1"/>
      <w:numFmt w:val="decimal"/>
      <w:lvlText w:val="%1.%2"/>
      <w:lvlJc w:val="left"/>
      <w:pPr>
        <w:tabs>
          <w:tab w:val="num" w:pos="0"/>
        </w:tabs>
        <w:ind w:left="294" w:hanging="360"/>
      </w:pPr>
    </w:lvl>
    <w:lvl w:ilvl="2">
      <w:start w:val="1"/>
      <w:numFmt w:val="decimal"/>
      <w:isLgl/>
      <w:lvlText w:val="%1.%2.%3"/>
      <w:lvlJc w:val="left"/>
      <w:pPr>
        <w:tabs>
          <w:tab w:val="num" w:pos="0"/>
        </w:tabs>
        <w:ind w:left="1014" w:hanging="720"/>
      </w:pPr>
    </w:lvl>
    <w:lvl w:ilvl="3">
      <w:start w:val="1"/>
      <w:numFmt w:val="decimal"/>
      <w:isLgl/>
      <w:lvlText w:val="%1.%2.%3.%4"/>
      <w:lvlJc w:val="left"/>
      <w:pPr>
        <w:tabs>
          <w:tab w:val="num" w:pos="0"/>
        </w:tabs>
        <w:ind w:left="1374" w:hanging="720"/>
      </w:pPr>
    </w:lvl>
    <w:lvl w:ilvl="4">
      <w:start w:val="1"/>
      <w:numFmt w:val="decimal"/>
      <w:isLgl/>
      <w:lvlText w:val="%1.%2.%3.%4.%5"/>
      <w:lvlJc w:val="left"/>
      <w:pPr>
        <w:tabs>
          <w:tab w:val="num" w:pos="0"/>
        </w:tabs>
        <w:ind w:left="2094" w:hanging="1080"/>
      </w:pPr>
    </w:lvl>
    <w:lvl w:ilvl="5">
      <w:start w:val="1"/>
      <w:numFmt w:val="decimal"/>
      <w:isLgl/>
      <w:lvlText w:val="%1.%2.%3.%4.%5.%6"/>
      <w:lvlJc w:val="left"/>
      <w:pPr>
        <w:tabs>
          <w:tab w:val="num" w:pos="0"/>
        </w:tabs>
        <w:ind w:left="2454" w:hanging="1080"/>
      </w:pPr>
    </w:lvl>
    <w:lvl w:ilvl="6">
      <w:start w:val="1"/>
      <w:numFmt w:val="decimal"/>
      <w:isLgl/>
      <w:lvlText w:val="%1.%2.%3.%4.%5.%6.%7"/>
      <w:lvlJc w:val="left"/>
      <w:pPr>
        <w:tabs>
          <w:tab w:val="num" w:pos="0"/>
        </w:tabs>
        <w:ind w:left="3174" w:hanging="1440"/>
      </w:pPr>
    </w:lvl>
    <w:lvl w:ilvl="7">
      <w:start w:val="1"/>
      <w:numFmt w:val="decimal"/>
      <w:isLgl/>
      <w:lvlText w:val="%1.%2.%3.%4.%5.%6.%7.%8"/>
      <w:lvlJc w:val="left"/>
      <w:pPr>
        <w:tabs>
          <w:tab w:val="num" w:pos="0"/>
        </w:tabs>
        <w:ind w:left="3534" w:hanging="1440"/>
      </w:pPr>
    </w:lvl>
    <w:lvl w:ilvl="8">
      <w:start w:val="1"/>
      <w:numFmt w:val="decimal"/>
      <w:isLgl/>
      <w:lvlText w:val="%1.%2.%3.%4.%5.%6.%7.%8.%9"/>
      <w:lvlJc w:val="left"/>
      <w:pPr>
        <w:tabs>
          <w:tab w:val="num" w:pos="0"/>
        </w:tabs>
        <w:ind w:left="4254" w:hanging="1800"/>
      </w:pPr>
    </w:lvl>
  </w:abstractNum>
  <w:abstractNum w:abstractNumId="3" w15:restartNumberingAfterBreak="0">
    <w:nsid w:val="1E4274E5"/>
    <w:multiLevelType w:val="multilevel"/>
    <w:tmpl w:val="9872BA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87B1FFF"/>
    <w:multiLevelType w:val="multilevel"/>
    <w:tmpl w:val="627829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576020F"/>
    <w:multiLevelType w:val="multilevel"/>
    <w:tmpl w:val="621640F6"/>
    <w:lvl w:ilvl="0">
      <w:start w:val="1"/>
      <w:numFmt w:val="bullet"/>
      <w:lvlText w:val="Ø"/>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28B784B"/>
    <w:multiLevelType w:val="multilevel"/>
    <w:tmpl w:val="4BE4F9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03C2877"/>
    <w:multiLevelType w:val="multilevel"/>
    <w:tmpl w:val="3A96ED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4C471B7"/>
    <w:multiLevelType w:val="multilevel"/>
    <w:tmpl w:val="A75E523C"/>
    <w:lvl w:ilvl="0">
      <w:start w:val="5"/>
      <w:numFmt w:val="decimal"/>
      <w:lvlText w:val="%1"/>
      <w:lvlJc w:val="left"/>
      <w:pPr>
        <w:ind w:left="540" w:hanging="540"/>
      </w:pPr>
      <w:rPr>
        <w:rFonts w:hint="default"/>
        <w:color w:val="000000" w:themeColor="text1"/>
      </w:rPr>
    </w:lvl>
    <w:lvl w:ilvl="1">
      <w:start w:val="3"/>
      <w:numFmt w:val="decimal"/>
      <w:lvlText w:val="%1.%2"/>
      <w:lvlJc w:val="left"/>
      <w:pPr>
        <w:ind w:left="540" w:hanging="54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9" w15:restartNumberingAfterBreak="0">
    <w:nsid w:val="684D2AFC"/>
    <w:multiLevelType w:val="multilevel"/>
    <w:tmpl w:val="78A83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5D5DD7"/>
    <w:multiLevelType w:val="multilevel"/>
    <w:tmpl w:val="AE2A23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8AD49D8"/>
    <w:multiLevelType w:val="multilevel"/>
    <w:tmpl w:val="5BC2A3E2"/>
    <w:lvl w:ilvl="0">
      <w:start w:val="5"/>
      <w:numFmt w:val="decimal"/>
      <w:lvlText w:val="%1"/>
      <w:lvlJc w:val="left"/>
      <w:pPr>
        <w:ind w:left="540" w:hanging="540"/>
      </w:pPr>
      <w:rPr>
        <w:rFonts w:hint="default"/>
        <w:color w:val="000000" w:themeColor="text1"/>
      </w:rPr>
    </w:lvl>
    <w:lvl w:ilvl="1">
      <w:start w:val="3"/>
      <w:numFmt w:val="decimal"/>
      <w:lvlText w:val="%1.%2"/>
      <w:lvlJc w:val="left"/>
      <w:pPr>
        <w:ind w:left="900" w:hanging="54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12" w15:restartNumberingAfterBreak="0">
    <w:nsid w:val="7A8B695C"/>
    <w:multiLevelType w:val="multilevel"/>
    <w:tmpl w:val="1DEAE69A"/>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294" w:hanging="360"/>
      </w:pPr>
    </w:lvl>
    <w:lvl w:ilvl="2">
      <w:start w:val="1"/>
      <w:numFmt w:val="decimal"/>
      <w:isLgl/>
      <w:lvlText w:val="%1.%2.%3"/>
      <w:lvlJc w:val="left"/>
      <w:pPr>
        <w:tabs>
          <w:tab w:val="num" w:pos="0"/>
        </w:tabs>
        <w:ind w:left="1014" w:hanging="720"/>
      </w:pPr>
    </w:lvl>
    <w:lvl w:ilvl="3">
      <w:start w:val="1"/>
      <w:numFmt w:val="decimal"/>
      <w:isLgl/>
      <w:lvlText w:val="%1.%2.%3.%4"/>
      <w:lvlJc w:val="left"/>
      <w:pPr>
        <w:tabs>
          <w:tab w:val="num" w:pos="0"/>
        </w:tabs>
        <w:ind w:left="1374" w:hanging="720"/>
      </w:pPr>
    </w:lvl>
    <w:lvl w:ilvl="4">
      <w:start w:val="1"/>
      <w:numFmt w:val="decimal"/>
      <w:isLgl/>
      <w:lvlText w:val="%1.%2.%3.%4.%5"/>
      <w:lvlJc w:val="left"/>
      <w:pPr>
        <w:tabs>
          <w:tab w:val="num" w:pos="0"/>
        </w:tabs>
        <w:ind w:left="2094" w:hanging="1080"/>
      </w:pPr>
    </w:lvl>
    <w:lvl w:ilvl="5">
      <w:start w:val="1"/>
      <w:numFmt w:val="decimal"/>
      <w:isLgl/>
      <w:lvlText w:val="%1.%2.%3.%4.%5.%6"/>
      <w:lvlJc w:val="left"/>
      <w:pPr>
        <w:tabs>
          <w:tab w:val="num" w:pos="0"/>
        </w:tabs>
        <w:ind w:left="2454" w:hanging="1080"/>
      </w:pPr>
    </w:lvl>
    <w:lvl w:ilvl="6">
      <w:start w:val="1"/>
      <w:numFmt w:val="decimal"/>
      <w:isLgl/>
      <w:lvlText w:val="%1.%2.%3.%4.%5.%6.%7"/>
      <w:lvlJc w:val="left"/>
      <w:pPr>
        <w:tabs>
          <w:tab w:val="num" w:pos="0"/>
        </w:tabs>
        <w:ind w:left="3174" w:hanging="1440"/>
      </w:pPr>
    </w:lvl>
    <w:lvl w:ilvl="7">
      <w:start w:val="1"/>
      <w:numFmt w:val="decimal"/>
      <w:isLgl/>
      <w:lvlText w:val="%1.%2.%3.%4.%5.%6.%7.%8"/>
      <w:lvlJc w:val="left"/>
      <w:pPr>
        <w:tabs>
          <w:tab w:val="num" w:pos="0"/>
        </w:tabs>
        <w:ind w:left="3534" w:hanging="1440"/>
      </w:pPr>
    </w:lvl>
    <w:lvl w:ilvl="8">
      <w:start w:val="1"/>
      <w:numFmt w:val="decimal"/>
      <w:isLgl/>
      <w:lvlText w:val="%1.%2.%3.%4.%5.%6.%7.%8.%9"/>
      <w:lvlJc w:val="left"/>
      <w:pPr>
        <w:tabs>
          <w:tab w:val="num" w:pos="0"/>
        </w:tabs>
        <w:ind w:left="4254" w:hanging="1800"/>
      </w:pPr>
    </w:lvl>
  </w:abstractNum>
  <w:num w:numId="1" w16cid:durableId="337582081">
    <w:abstractNumId w:val="10"/>
  </w:num>
  <w:num w:numId="2" w16cid:durableId="536091736">
    <w:abstractNumId w:val="3"/>
  </w:num>
  <w:num w:numId="3" w16cid:durableId="245580096">
    <w:abstractNumId w:val="7"/>
  </w:num>
  <w:num w:numId="4" w16cid:durableId="1819497734">
    <w:abstractNumId w:val="4"/>
  </w:num>
  <w:num w:numId="5" w16cid:durableId="642857472">
    <w:abstractNumId w:val="0"/>
  </w:num>
  <w:num w:numId="6" w16cid:durableId="1382560140">
    <w:abstractNumId w:val="5"/>
  </w:num>
  <w:num w:numId="7" w16cid:durableId="253711727">
    <w:abstractNumId w:val="12"/>
  </w:num>
  <w:num w:numId="8" w16cid:durableId="2021202180">
    <w:abstractNumId w:val="6"/>
  </w:num>
  <w:num w:numId="9" w16cid:durableId="339085610">
    <w:abstractNumId w:val="9"/>
  </w:num>
  <w:num w:numId="10" w16cid:durableId="231549314">
    <w:abstractNumId w:val="1"/>
  </w:num>
  <w:num w:numId="11" w16cid:durableId="1067844984">
    <w:abstractNumId w:val="11"/>
  </w:num>
  <w:num w:numId="12" w16cid:durableId="642269854">
    <w:abstractNumId w:val="8"/>
  </w:num>
  <w:num w:numId="13" w16cid:durableId="1934196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62E"/>
    <w:rsid w:val="000008F7"/>
    <w:rsid w:val="00022F3E"/>
    <w:rsid w:val="000236A3"/>
    <w:rsid w:val="00031DB3"/>
    <w:rsid w:val="00080173"/>
    <w:rsid w:val="00085DF0"/>
    <w:rsid w:val="0009068B"/>
    <w:rsid w:val="000928F8"/>
    <w:rsid w:val="000A6E39"/>
    <w:rsid w:val="000B1D7F"/>
    <w:rsid w:val="000B2422"/>
    <w:rsid w:val="000B3A12"/>
    <w:rsid w:val="000C55C7"/>
    <w:rsid w:val="000C5813"/>
    <w:rsid w:val="000C5BAE"/>
    <w:rsid w:val="000D0DE2"/>
    <w:rsid w:val="000D3C49"/>
    <w:rsid w:val="000F41E0"/>
    <w:rsid w:val="000F6249"/>
    <w:rsid w:val="00111247"/>
    <w:rsid w:val="00131048"/>
    <w:rsid w:val="00136D19"/>
    <w:rsid w:val="001423CA"/>
    <w:rsid w:val="0014328E"/>
    <w:rsid w:val="00151240"/>
    <w:rsid w:val="001544BD"/>
    <w:rsid w:val="00163C65"/>
    <w:rsid w:val="00171EA9"/>
    <w:rsid w:val="00173427"/>
    <w:rsid w:val="0018044A"/>
    <w:rsid w:val="00181396"/>
    <w:rsid w:val="001852E0"/>
    <w:rsid w:val="001E3CEF"/>
    <w:rsid w:val="002002B1"/>
    <w:rsid w:val="00225D0B"/>
    <w:rsid w:val="0023214B"/>
    <w:rsid w:val="00242DFB"/>
    <w:rsid w:val="00250C25"/>
    <w:rsid w:val="00256C22"/>
    <w:rsid w:val="00275D9F"/>
    <w:rsid w:val="00282816"/>
    <w:rsid w:val="002860AB"/>
    <w:rsid w:val="00297C67"/>
    <w:rsid w:val="002A0E52"/>
    <w:rsid w:val="002A1E1C"/>
    <w:rsid w:val="002B36F9"/>
    <w:rsid w:val="002D0D56"/>
    <w:rsid w:val="002D7FF0"/>
    <w:rsid w:val="002E288A"/>
    <w:rsid w:val="002E6AF9"/>
    <w:rsid w:val="002F5138"/>
    <w:rsid w:val="00302192"/>
    <w:rsid w:val="00305A2F"/>
    <w:rsid w:val="0032174D"/>
    <w:rsid w:val="00375B60"/>
    <w:rsid w:val="00380606"/>
    <w:rsid w:val="003911C7"/>
    <w:rsid w:val="00395F61"/>
    <w:rsid w:val="0039645E"/>
    <w:rsid w:val="003D4A2A"/>
    <w:rsid w:val="003E79C2"/>
    <w:rsid w:val="003F26EC"/>
    <w:rsid w:val="003F66B4"/>
    <w:rsid w:val="004028F2"/>
    <w:rsid w:val="004222CE"/>
    <w:rsid w:val="00422CE8"/>
    <w:rsid w:val="00435CD2"/>
    <w:rsid w:val="00452AFC"/>
    <w:rsid w:val="004675CD"/>
    <w:rsid w:val="00476227"/>
    <w:rsid w:val="004871F9"/>
    <w:rsid w:val="00487B6D"/>
    <w:rsid w:val="00497F1A"/>
    <w:rsid w:val="004A3D85"/>
    <w:rsid w:val="004A3E4C"/>
    <w:rsid w:val="004A6EB2"/>
    <w:rsid w:val="004C0C7B"/>
    <w:rsid w:val="004C1200"/>
    <w:rsid w:val="004D5108"/>
    <w:rsid w:val="004E3E9C"/>
    <w:rsid w:val="004F456A"/>
    <w:rsid w:val="00501672"/>
    <w:rsid w:val="0050558F"/>
    <w:rsid w:val="0051018D"/>
    <w:rsid w:val="005110AC"/>
    <w:rsid w:val="00536CF7"/>
    <w:rsid w:val="0054533D"/>
    <w:rsid w:val="00555534"/>
    <w:rsid w:val="005839EB"/>
    <w:rsid w:val="00594335"/>
    <w:rsid w:val="005A0AF3"/>
    <w:rsid w:val="005B2285"/>
    <w:rsid w:val="005B2DBF"/>
    <w:rsid w:val="005B3561"/>
    <w:rsid w:val="005C4160"/>
    <w:rsid w:val="006121BF"/>
    <w:rsid w:val="00620B3C"/>
    <w:rsid w:val="00630881"/>
    <w:rsid w:val="00642313"/>
    <w:rsid w:val="006437E1"/>
    <w:rsid w:val="00683F80"/>
    <w:rsid w:val="00691563"/>
    <w:rsid w:val="006B01C8"/>
    <w:rsid w:val="006B05FA"/>
    <w:rsid w:val="006B64A1"/>
    <w:rsid w:val="006D1139"/>
    <w:rsid w:val="006D6BC5"/>
    <w:rsid w:val="006E0854"/>
    <w:rsid w:val="006E771E"/>
    <w:rsid w:val="0073474D"/>
    <w:rsid w:val="0074650F"/>
    <w:rsid w:val="00754F3A"/>
    <w:rsid w:val="00755F24"/>
    <w:rsid w:val="00756028"/>
    <w:rsid w:val="00762BCE"/>
    <w:rsid w:val="007725D8"/>
    <w:rsid w:val="00772EDC"/>
    <w:rsid w:val="007C623F"/>
    <w:rsid w:val="007D3CE7"/>
    <w:rsid w:val="007E59AC"/>
    <w:rsid w:val="00810D58"/>
    <w:rsid w:val="00812AF6"/>
    <w:rsid w:val="0081376D"/>
    <w:rsid w:val="008320EA"/>
    <w:rsid w:val="00841523"/>
    <w:rsid w:val="00843D08"/>
    <w:rsid w:val="00890F98"/>
    <w:rsid w:val="0089421B"/>
    <w:rsid w:val="00894C96"/>
    <w:rsid w:val="0089753E"/>
    <w:rsid w:val="00897A91"/>
    <w:rsid w:val="008A1716"/>
    <w:rsid w:val="008A6A0F"/>
    <w:rsid w:val="008A7A9F"/>
    <w:rsid w:val="008B0D9A"/>
    <w:rsid w:val="008B3CED"/>
    <w:rsid w:val="008B7E8D"/>
    <w:rsid w:val="008D5430"/>
    <w:rsid w:val="008D64A0"/>
    <w:rsid w:val="008F5EC1"/>
    <w:rsid w:val="008F6E67"/>
    <w:rsid w:val="00905546"/>
    <w:rsid w:val="00906975"/>
    <w:rsid w:val="0092547C"/>
    <w:rsid w:val="00925925"/>
    <w:rsid w:val="0092688D"/>
    <w:rsid w:val="00927866"/>
    <w:rsid w:val="00927DBD"/>
    <w:rsid w:val="00947D99"/>
    <w:rsid w:val="00947E1B"/>
    <w:rsid w:val="00953603"/>
    <w:rsid w:val="00962017"/>
    <w:rsid w:val="00972743"/>
    <w:rsid w:val="00983932"/>
    <w:rsid w:val="009A08DA"/>
    <w:rsid w:val="009A5FBE"/>
    <w:rsid w:val="009B2012"/>
    <w:rsid w:val="009B2399"/>
    <w:rsid w:val="009C18FE"/>
    <w:rsid w:val="009F762E"/>
    <w:rsid w:val="009F7FB9"/>
    <w:rsid w:val="00A113E5"/>
    <w:rsid w:val="00A16D18"/>
    <w:rsid w:val="00A177E6"/>
    <w:rsid w:val="00A30820"/>
    <w:rsid w:val="00A8307C"/>
    <w:rsid w:val="00A8639D"/>
    <w:rsid w:val="00A86A17"/>
    <w:rsid w:val="00A91592"/>
    <w:rsid w:val="00A97ED2"/>
    <w:rsid w:val="00AA4A03"/>
    <w:rsid w:val="00AB0930"/>
    <w:rsid w:val="00AB5FA5"/>
    <w:rsid w:val="00AC3703"/>
    <w:rsid w:val="00AC6B60"/>
    <w:rsid w:val="00AD276C"/>
    <w:rsid w:val="00AD7403"/>
    <w:rsid w:val="00AE0C7F"/>
    <w:rsid w:val="00AF7C86"/>
    <w:rsid w:val="00B1210D"/>
    <w:rsid w:val="00B20391"/>
    <w:rsid w:val="00B477BF"/>
    <w:rsid w:val="00B62695"/>
    <w:rsid w:val="00B6346F"/>
    <w:rsid w:val="00B63DC5"/>
    <w:rsid w:val="00B71C9B"/>
    <w:rsid w:val="00BB7BFC"/>
    <w:rsid w:val="00BC2693"/>
    <w:rsid w:val="00BD3A75"/>
    <w:rsid w:val="00BD4E7B"/>
    <w:rsid w:val="00BE4945"/>
    <w:rsid w:val="00C0747A"/>
    <w:rsid w:val="00C14D90"/>
    <w:rsid w:val="00C27EBA"/>
    <w:rsid w:val="00C3331A"/>
    <w:rsid w:val="00C75A81"/>
    <w:rsid w:val="00C77552"/>
    <w:rsid w:val="00CE7D67"/>
    <w:rsid w:val="00CF1951"/>
    <w:rsid w:val="00CF7A73"/>
    <w:rsid w:val="00D33C9C"/>
    <w:rsid w:val="00D37DE7"/>
    <w:rsid w:val="00D441B4"/>
    <w:rsid w:val="00D55ABD"/>
    <w:rsid w:val="00D60344"/>
    <w:rsid w:val="00D740ED"/>
    <w:rsid w:val="00D83CAF"/>
    <w:rsid w:val="00D85A1C"/>
    <w:rsid w:val="00D91970"/>
    <w:rsid w:val="00DA69F3"/>
    <w:rsid w:val="00DC2FBC"/>
    <w:rsid w:val="00DF3BB3"/>
    <w:rsid w:val="00E117C1"/>
    <w:rsid w:val="00E15AAD"/>
    <w:rsid w:val="00E31526"/>
    <w:rsid w:val="00E319E1"/>
    <w:rsid w:val="00E74E3E"/>
    <w:rsid w:val="00E82746"/>
    <w:rsid w:val="00E83BF7"/>
    <w:rsid w:val="00E84FA7"/>
    <w:rsid w:val="00E8539F"/>
    <w:rsid w:val="00EC0E2E"/>
    <w:rsid w:val="00EE5F62"/>
    <w:rsid w:val="00EF0970"/>
    <w:rsid w:val="00F01344"/>
    <w:rsid w:val="00F04631"/>
    <w:rsid w:val="00F2026F"/>
    <w:rsid w:val="00F23740"/>
    <w:rsid w:val="00F27FAD"/>
    <w:rsid w:val="00F30AB0"/>
    <w:rsid w:val="00F402B8"/>
    <w:rsid w:val="00F5666F"/>
    <w:rsid w:val="00F62D73"/>
    <w:rsid w:val="00F64B38"/>
    <w:rsid w:val="00F76710"/>
    <w:rsid w:val="00F80AD4"/>
    <w:rsid w:val="00F8409D"/>
    <w:rsid w:val="00F90D94"/>
    <w:rsid w:val="00F942AE"/>
    <w:rsid w:val="00F97D77"/>
    <w:rsid w:val="00FB1F53"/>
    <w:rsid w:val="00FE016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65F72"/>
  <w15:docId w15:val="{8C6492E9-957F-474B-A8C2-33F18CE11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1F4"/>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rsid w:val="00C30FD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30FD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20651"/>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semiHidden/>
    <w:unhideWhenUsed/>
    <w:qFormat/>
    <w:rsid w:val="00B2065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1">
    <w:name w:val="s1"/>
    <w:qFormat/>
    <w:rsid w:val="0363BEB3"/>
  </w:style>
  <w:style w:type="character" w:customStyle="1" w:styleId="s2">
    <w:name w:val="s2"/>
    <w:qFormat/>
    <w:rsid w:val="0363BEB3"/>
  </w:style>
  <w:style w:type="character" w:customStyle="1" w:styleId="PrrafodelistaCar">
    <w:name w:val="Párrafo de lista Car"/>
    <w:link w:val="Prrafodelista"/>
    <w:uiPriority w:val="34"/>
    <w:qFormat/>
    <w:rsid w:val="000C4AE0"/>
    <w:rPr>
      <w:kern w:val="2"/>
      <w:sz w:val="24"/>
      <w:szCs w:val="24"/>
      <w:lang w:val="es-ES_tradnl"/>
      <w14:ligatures w14:val="standardContextual"/>
    </w:rPr>
  </w:style>
  <w:style w:type="character" w:customStyle="1" w:styleId="TextoindependienteCar">
    <w:name w:val="Texto independiente Car"/>
    <w:link w:val="Textoindependiente"/>
    <w:uiPriority w:val="1"/>
    <w:qFormat/>
    <w:rsid w:val="0363BEB3"/>
    <w:rPr>
      <w:rFonts w:ascii="Arial MT" w:eastAsia="Arial MT" w:hAnsi="Arial MT" w:cs="Arial MT"/>
      <w:lang w:val="es-ES"/>
    </w:rPr>
  </w:style>
  <w:style w:type="character" w:customStyle="1" w:styleId="15">
    <w:name w:val="15"/>
    <w:uiPriority w:val="1"/>
    <w:qFormat/>
    <w:rsid w:val="0363BEB3"/>
    <w:rPr>
      <w:rFonts w:ascii="Calibri" w:hAnsi="Calibri" w:cs="Calibri"/>
      <w:color w:val="0563C1"/>
      <w:u w:val="single"/>
    </w:rPr>
  </w:style>
  <w:style w:type="character" w:styleId="Hipervnculo">
    <w:name w:val="Hyperlink"/>
    <w:uiPriority w:val="99"/>
    <w:unhideWhenUsed/>
    <w:rsid w:val="0363BEB3"/>
    <w:rPr>
      <w:color w:val="0563C1"/>
      <w:u w:val="single"/>
    </w:rPr>
  </w:style>
  <w:style w:type="character" w:styleId="Refdecomentario">
    <w:name w:val="annotation reference"/>
    <w:uiPriority w:val="99"/>
    <w:semiHidden/>
    <w:unhideWhenUsed/>
    <w:qFormat/>
    <w:rsid w:val="0363BEB3"/>
    <w:rPr>
      <w:sz w:val="16"/>
      <w:szCs w:val="16"/>
    </w:rPr>
  </w:style>
  <w:style w:type="character" w:customStyle="1" w:styleId="TextocomentarioCar">
    <w:name w:val="Texto comentario Car"/>
    <w:link w:val="Textocomentario"/>
    <w:uiPriority w:val="99"/>
    <w:qFormat/>
    <w:rsid w:val="0363BEB3"/>
    <w:rPr>
      <w:sz w:val="20"/>
      <w:szCs w:val="20"/>
    </w:rPr>
  </w:style>
  <w:style w:type="character" w:customStyle="1" w:styleId="TextodegloboCar">
    <w:name w:val="Texto de globo Car"/>
    <w:link w:val="Textodeglobo"/>
    <w:uiPriority w:val="99"/>
    <w:semiHidden/>
    <w:qFormat/>
    <w:rsid w:val="0363BEB3"/>
    <w:rPr>
      <w:rFonts w:ascii="Segoe UI" w:hAnsi="Segoe UI" w:cs="Segoe UI"/>
      <w:sz w:val="18"/>
      <w:szCs w:val="18"/>
      <w:lang w:val="es-ES"/>
    </w:rPr>
  </w:style>
  <w:style w:type="character" w:customStyle="1" w:styleId="apple-converted-space">
    <w:name w:val="apple-converted-space"/>
    <w:uiPriority w:val="1"/>
    <w:qFormat/>
    <w:rsid w:val="0363BEB3"/>
  </w:style>
  <w:style w:type="character" w:styleId="Textoennegrita">
    <w:name w:val="Strong"/>
    <w:uiPriority w:val="22"/>
    <w:qFormat/>
    <w:rsid w:val="0363BEB3"/>
    <w:rPr>
      <w:b/>
      <w:bCs/>
    </w:rPr>
  </w:style>
  <w:style w:type="character" w:customStyle="1" w:styleId="Ttulo1Car">
    <w:name w:val="Título 1 Car"/>
    <w:link w:val="Ttulo1"/>
    <w:uiPriority w:val="9"/>
    <w:qFormat/>
    <w:rsid w:val="0363BEB3"/>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link w:val="Ttulo2"/>
    <w:uiPriority w:val="9"/>
    <w:qFormat/>
    <w:rsid w:val="0363BEB3"/>
    <w:rPr>
      <w:rFonts w:asciiTheme="majorHAnsi" w:eastAsiaTheme="majorEastAsia" w:hAnsiTheme="majorHAnsi" w:cstheme="majorBidi"/>
      <w:color w:val="2E74B5" w:themeColor="accent1" w:themeShade="BF"/>
      <w:sz w:val="26"/>
      <w:szCs w:val="26"/>
      <w:lang w:val="es-ES"/>
    </w:rPr>
  </w:style>
  <w:style w:type="character" w:customStyle="1" w:styleId="AsuntodelcomentarioCar">
    <w:name w:val="Asunto del comentario Car"/>
    <w:basedOn w:val="TextocomentarioCar"/>
    <w:link w:val="Asuntodelcomentario"/>
    <w:uiPriority w:val="99"/>
    <w:semiHidden/>
    <w:qFormat/>
    <w:rsid w:val="00790250"/>
    <w:rPr>
      <w:b/>
      <w:bCs/>
      <w:kern w:val="2"/>
      <w:sz w:val="20"/>
      <w:szCs w:val="20"/>
      <w:lang w:val="es-ES_tradnl"/>
      <w14:ligatures w14:val="standardContextual"/>
    </w:rPr>
  </w:style>
  <w:style w:type="character" w:customStyle="1" w:styleId="EndnoteCharacters">
    <w:name w:val="Endnote Characters"/>
    <w:uiPriority w:val="99"/>
    <w:semiHidden/>
    <w:unhideWhenUsed/>
    <w:qFormat/>
    <w:rsid w:val="0363BEB3"/>
    <w:rPr>
      <w:vertAlign w:val="superscript"/>
    </w:rPr>
  </w:style>
  <w:style w:type="character" w:styleId="Refdenotaalfinal">
    <w:name w:val="endnote reference"/>
    <w:rPr>
      <w:vertAlign w:val="superscript"/>
    </w:rPr>
  </w:style>
  <w:style w:type="character" w:customStyle="1" w:styleId="FootnoteCharacters">
    <w:name w:val="Footnote Characters"/>
    <w:uiPriority w:val="99"/>
    <w:semiHidden/>
    <w:unhideWhenUsed/>
    <w:qFormat/>
    <w:rsid w:val="0363BEB3"/>
    <w:rPr>
      <w:vertAlign w:val="superscript"/>
    </w:rPr>
  </w:style>
  <w:style w:type="character" w:styleId="Refdenotaalpie">
    <w:name w:val="footnote reference"/>
    <w:uiPriority w:val="99"/>
    <w:rPr>
      <w:vertAlign w:val="superscript"/>
    </w:rPr>
  </w:style>
  <w:style w:type="character" w:styleId="Hipervnculovisitado">
    <w:name w:val="FollowedHyperlink"/>
    <w:basedOn w:val="Fuentedeprrafopredeter"/>
    <w:uiPriority w:val="99"/>
    <w:semiHidden/>
    <w:unhideWhenUsed/>
    <w:rsid w:val="00693CFD"/>
    <w:rPr>
      <w:color w:val="954F72" w:themeColor="followedHyperlink"/>
      <w:u w:val="single"/>
    </w:rPr>
  </w:style>
  <w:style w:type="character" w:customStyle="1" w:styleId="EncabezadoCar">
    <w:name w:val="Encabezado Car"/>
    <w:basedOn w:val="Fuentedeprrafopredeter"/>
    <w:link w:val="Encabezado"/>
    <w:uiPriority w:val="99"/>
    <w:qFormat/>
    <w:rsid w:val="00C07EF1"/>
    <w:rPr>
      <w:kern w:val="2"/>
      <w:sz w:val="24"/>
      <w:szCs w:val="24"/>
      <w:lang w:val="es-ES_tradnl"/>
      <w14:ligatures w14:val="standardContextual"/>
    </w:rPr>
  </w:style>
  <w:style w:type="character" w:customStyle="1" w:styleId="PiedepginaCar">
    <w:name w:val="Pie de página Car"/>
    <w:basedOn w:val="Fuentedeprrafopredeter"/>
    <w:link w:val="Piedepgina"/>
    <w:uiPriority w:val="99"/>
    <w:qFormat/>
    <w:rsid w:val="00C07EF1"/>
    <w:rPr>
      <w:kern w:val="2"/>
      <w:sz w:val="24"/>
      <w:szCs w:val="24"/>
      <w:lang w:val="es-ES_tradnl"/>
      <w14:ligatures w14:val="standardContextual"/>
    </w:rPr>
  </w:style>
  <w:style w:type="character" w:customStyle="1" w:styleId="SubttuloCar">
    <w:name w:val="Subtítulo Car"/>
    <w:basedOn w:val="Fuentedeprrafopredeter"/>
    <w:link w:val="Subttulo"/>
    <w:uiPriority w:val="11"/>
    <w:qFormat/>
    <w:rsid w:val="00104193"/>
    <w:rPr>
      <w:rFonts w:eastAsiaTheme="minorEastAsia"/>
      <w:color w:val="5A5A5A" w:themeColor="text1" w:themeTint="A5"/>
      <w:spacing w:val="15"/>
      <w:kern w:val="2"/>
      <w:lang w:val="es-ES_tradnl"/>
      <w14:ligatures w14:val="standardContextual"/>
    </w:rPr>
  </w:style>
  <w:style w:type="character" w:customStyle="1" w:styleId="normaltextrun">
    <w:name w:val="normaltextrun"/>
    <w:basedOn w:val="Fuentedeprrafopredeter"/>
    <w:qFormat/>
    <w:rsid w:val="00872658"/>
  </w:style>
  <w:style w:type="character" w:customStyle="1" w:styleId="eop">
    <w:name w:val="eop"/>
    <w:basedOn w:val="Fuentedeprrafopredeter"/>
    <w:qFormat/>
    <w:rsid w:val="00872658"/>
  </w:style>
  <w:style w:type="character" w:customStyle="1" w:styleId="Mencinsinresolver1">
    <w:name w:val="Mención sin resolver1"/>
    <w:basedOn w:val="Fuentedeprrafopredeter"/>
    <w:uiPriority w:val="99"/>
    <w:semiHidden/>
    <w:unhideWhenUsed/>
    <w:qFormat/>
    <w:rsid w:val="00DC2209"/>
    <w:rPr>
      <w:color w:val="605E5C"/>
      <w:shd w:val="clear" w:color="auto" w:fill="E1DFDD"/>
    </w:rPr>
  </w:style>
  <w:style w:type="character" w:customStyle="1" w:styleId="Ttulo4Car">
    <w:name w:val="Título 4 Car"/>
    <w:basedOn w:val="Fuentedeprrafopredeter"/>
    <w:link w:val="Ttulo4"/>
    <w:uiPriority w:val="9"/>
    <w:semiHidden/>
    <w:qFormat/>
    <w:rsid w:val="00B20651"/>
    <w:rPr>
      <w:rFonts w:asciiTheme="majorHAnsi" w:eastAsiaTheme="majorEastAsia" w:hAnsiTheme="majorHAnsi" w:cstheme="majorBidi"/>
      <w:i/>
      <w:iCs/>
      <w:color w:val="2E74B5" w:themeColor="accent1" w:themeShade="BF"/>
      <w:kern w:val="2"/>
      <w:sz w:val="24"/>
      <w:szCs w:val="24"/>
      <w:lang w:val="es-ES_tradnl"/>
      <w14:ligatures w14:val="standardContextual"/>
    </w:rPr>
  </w:style>
  <w:style w:type="character" w:customStyle="1" w:styleId="Ttulo3Car">
    <w:name w:val="Título 3 Car"/>
    <w:basedOn w:val="Fuentedeprrafopredeter"/>
    <w:link w:val="Ttulo3"/>
    <w:uiPriority w:val="9"/>
    <w:qFormat/>
    <w:rsid w:val="00B20651"/>
    <w:rPr>
      <w:rFonts w:asciiTheme="majorHAnsi" w:eastAsiaTheme="majorEastAsia" w:hAnsiTheme="majorHAnsi" w:cstheme="majorBidi"/>
      <w:color w:val="1F4D78" w:themeColor="accent1" w:themeShade="7F"/>
      <w:kern w:val="2"/>
      <w:sz w:val="24"/>
      <w:szCs w:val="24"/>
      <w:lang w:val="es-ES_tradnl"/>
      <w14:ligatures w14:val="standardContextual"/>
    </w:rPr>
  </w:style>
  <w:style w:type="character" w:customStyle="1" w:styleId="Mencinsinresolver2">
    <w:name w:val="Mención sin resolver2"/>
    <w:basedOn w:val="Fuentedeprrafopredeter"/>
    <w:uiPriority w:val="99"/>
    <w:semiHidden/>
    <w:unhideWhenUsed/>
    <w:qFormat/>
    <w:rsid w:val="00CF2306"/>
    <w:rPr>
      <w:color w:val="605E5C"/>
      <w:shd w:val="clear" w:color="auto" w:fill="E1DFDD"/>
    </w:rPr>
  </w:style>
  <w:style w:type="character" w:customStyle="1" w:styleId="Mencinsinresolver3">
    <w:name w:val="Mención sin resolver3"/>
    <w:basedOn w:val="Fuentedeprrafopredeter"/>
    <w:uiPriority w:val="99"/>
    <w:semiHidden/>
    <w:unhideWhenUsed/>
    <w:qFormat/>
    <w:rsid w:val="00704377"/>
    <w:rPr>
      <w:color w:val="605E5C"/>
      <w:shd w:val="clear" w:color="auto" w:fill="E1DFDD"/>
    </w:rPr>
  </w:style>
  <w:style w:type="character" w:customStyle="1" w:styleId="s3">
    <w:name w:val="s3"/>
    <w:basedOn w:val="Fuentedeprrafopredeter"/>
    <w:qFormat/>
    <w:rsid w:val="007C65C4"/>
  </w:style>
  <w:style w:type="character" w:customStyle="1" w:styleId="scxw66536647">
    <w:name w:val="scxw66536647"/>
    <w:basedOn w:val="Fuentedeprrafopredeter"/>
    <w:qFormat/>
    <w:rsid w:val="00913C12"/>
  </w:style>
  <w:style w:type="character" w:customStyle="1" w:styleId="TextonotapieCar">
    <w:name w:val="Texto nota pie Car"/>
    <w:basedOn w:val="Fuentedeprrafopredeter"/>
    <w:link w:val="Textonotapie"/>
    <w:uiPriority w:val="99"/>
    <w:qFormat/>
    <w:rsid w:val="00F81D98"/>
    <w:rPr>
      <w:rFonts w:ascii="Times New Roman" w:eastAsia="Times New Roman" w:hAnsi="Times New Roman" w:cs="Times New Roman"/>
      <w:sz w:val="20"/>
      <w:szCs w:val="20"/>
      <w:lang w:eastAsia="es-MX"/>
    </w:rPr>
  </w:style>
  <w:style w:type="character" w:customStyle="1" w:styleId="IndexLink">
    <w:name w:val="Index Link"/>
    <w:qFormat/>
  </w:style>
  <w:style w:type="paragraph" w:customStyle="1" w:styleId="Heading">
    <w:name w:val="Heading"/>
    <w:basedOn w:val="Normal"/>
    <w:next w:val="Textoindependiente"/>
    <w:qFormat/>
    <w:pPr>
      <w:keepNext/>
      <w:spacing w:before="240" w:after="120"/>
    </w:pPr>
    <w:rPr>
      <w:rFonts w:ascii="Liberation Sans" w:eastAsia="Noto Sans CJK SC" w:hAnsi="Liberation Sans" w:cs="Lohit Devanagari"/>
      <w:sz w:val="28"/>
      <w:szCs w:val="28"/>
    </w:rPr>
  </w:style>
  <w:style w:type="paragraph" w:styleId="Textoindependiente">
    <w:name w:val="Body Text"/>
    <w:basedOn w:val="Normal"/>
    <w:link w:val="TextoindependienteCar"/>
    <w:uiPriority w:val="1"/>
    <w:qFormat/>
    <w:rsid w:val="000C4AE0"/>
    <w:pPr>
      <w:widowControl w:val="0"/>
    </w:pPr>
    <w:rPr>
      <w:rFonts w:ascii="Arial MT" w:eastAsia="Arial MT" w:hAnsi="Arial MT" w:cs="Arial MT"/>
      <w:sz w:val="22"/>
      <w:szCs w:val="22"/>
      <w:lang w:val="es-ES"/>
    </w:rPr>
  </w:style>
  <w:style w:type="paragraph" w:styleId="Lista">
    <w:name w:val="List"/>
    <w:basedOn w:val="Textoindependiente"/>
    <w:rPr>
      <w:rFonts w:cs="Lohit Devanagari"/>
    </w:rPr>
  </w:style>
  <w:style w:type="paragraph" w:styleId="Descripcin">
    <w:name w:val="caption"/>
    <w:basedOn w:val="Normal"/>
    <w:next w:val="Normal"/>
    <w:uiPriority w:val="35"/>
    <w:unhideWhenUsed/>
    <w:qFormat/>
    <w:rsid w:val="000F6EB0"/>
    <w:pPr>
      <w:spacing w:after="200"/>
    </w:pPr>
    <w:rPr>
      <w:i/>
      <w:iCs/>
      <w:color w:val="44546A" w:themeColor="text2"/>
      <w:sz w:val="18"/>
      <w:szCs w:val="18"/>
    </w:rPr>
  </w:style>
  <w:style w:type="paragraph" w:customStyle="1" w:styleId="Index">
    <w:name w:val="Index"/>
    <w:basedOn w:val="Normal"/>
    <w:qFormat/>
    <w:pPr>
      <w:suppressLineNumbers/>
    </w:pPr>
    <w:rPr>
      <w:rFonts w:cs="Lohit Devanagari"/>
    </w:rPr>
  </w:style>
  <w:style w:type="paragraph" w:styleId="Prrafodelista">
    <w:name w:val="List Paragraph"/>
    <w:basedOn w:val="Normal"/>
    <w:link w:val="PrrafodelistaCar"/>
    <w:uiPriority w:val="34"/>
    <w:qFormat/>
    <w:rsid w:val="000C4AE0"/>
    <w:pPr>
      <w:ind w:left="720"/>
      <w:contextualSpacing/>
    </w:pPr>
  </w:style>
  <w:style w:type="paragraph" w:customStyle="1" w:styleId="p1">
    <w:name w:val="p1"/>
    <w:basedOn w:val="Normal"/>
    <w:qFormat/>
    <w:rsid w:val="000C4AE0"/>
    <w:pPr>
      <w:spacing w:beforeAutospacing="1" w:afterAutospacing="1"/>
    </w:pPr>
  </w:style>
  <w:style w:type="paragraph" w:styleId="NormalWeb">
    <w:name w:val="Normal (Web)"/>
    <w:basedOn w:val="Normal"/>
    <w:uiPriority w:val="99"/>
    <w:qFormat/>
    <w:rsid w:val="000C4AE0"/>
    <w:pPr>
      <w:spacing w:before="280" w:after="280"/>
      <w:textAlignment w:val="baseline"/>
    </w:pPr>
    <w:rPr>
      <w:kern w:val="2"/>
      <w:lang w:eastAsia="zh-CN"/>
    </w:rPr>
  </w:style>
  <w:style w:type="paragraph" w:customStyle="1" w:styleId="Default">
    <w:name w:val="Default"/>
    <w:qFormat/>
    <w:rsid w:val="000C4AE0"/>
    <w:rPr>
      <w:rFonts w:ascii="Times New Roman" w:eastAsia="Calibri" w:hAnsi="Times New Roman" w:cs="Times New Roman"/>
      <w:color w:val="000000"/>
      <w:sz w:val="24"/>
      <w:szCs w:val="24"/>
    </w:rPr>
  </w:style>
  <w:style w:type="paragraph" w:styleId="Textocomentario">
    <w:name w:val="annotation text"/>
    <w:basedOn w:val="Normal"/>
    <w:link w:val="TextocomentarioCar"/>
    <w:uiPriority w:val="99"/>
    <w:unhideWhenUsed/>
    <w:rsid w:val="00214929"/>
    <w:pPr>
      <w:spacing w:after="160"/>
    </w:pPr>
    <w:rPr>
      <w:sz w:val="20"/>
      <w:szCs w:val="20"/>
    </w:rPr>
  </w:style>
  <w:style w:type="paragraph" w:styleId="Sinespaciado">
    <w:name w:val="No Spacing"/>
    <w:uiPriority w:val="1"/>
    <w:qFormat/>
    <w:rsid w:val="00214929"/>
    <w:rPr>
      <w:rFonts w:ascii="Calibri" w:eastAsia="Calibri" w:hAnsi="Calibri" w:cs="Arial"/>
      <w:kern w:val="2"/>
      <w14:ligatures w14:val="standardContextual"/>
    </w:rPr>
  </w:style>
  <w:style w:type="paragraph" w:styleId="Textodeglobo">
    <w:name w:val="Balloon Text"/>
    <w:basedOn w:val="Normal"/>
    <w:link w:val="TextodegloboCar"/>
    <w:uiPriority w:val="99"/>
    <w:semiHidden/>
    <w:unhideWhenUsed/>
    <w:qFormat/>
    <w:rsid w:val="00214929"/>
    <w:rPr>
      <w:rFonts w:ascii="Segoe UI" w:hAnsi="Segoe UI" w:cs="Segoe UI"/>
      <w:sz w:val="18"/>
      <w:szCs w:val="18"/>
    </w:rPr>
  </w:style>
  <w:style w:type="paragraph" w:styleId="Ttulodendice">
    <w:name w:val="index heading"/>
    <w:basedOn w:val="Heading"/>
  </w:style>
  <w:style w:type="paragraph" w:styleId="TtuloTDC">
    <w:name w:val="TOC Heading"/>
    <w:basedOn w:val="Ttulo1"/>
    <w:next w:val="Normal"/>
    <w:uiPriority w:val="39"/>
    <w:unhideWhenUsed/>
    <w:qFormat/>
    <w:rsid w:val="00C30FD4"/>
    <w:pPr>
      <w:spacing w:line="259" w:lineRule="auto"/>
      <w:outlineLvl w:val="9"/>
    </w:pPr>
    <w:rPr>
      <w:lang w:eastAsia="es-CO"/>
    </w:rPr>
  </w:style>
  <w:style w:type="paragraph" w:styleId="TDC1">
    <w:name w:val="toc 1"/>
    <w:basedOn w:val="Normal"/>
    <w:next w:val="Normal"/>
    <w:autoRedefine/>
    <w:uiPriority w:val="39"/>
    <w:unhideWhenUsed/>
    <w:rsid w:val="00C30FD4"/>
    <w:pPr>
      <w:spacing w:after="100"/>
    </w:pPr>
  </w:style>
  <w:style w:type="paragraph" w:styleId="TDC2">
    <w:name w:val="toc 2"/>
    <w:basedOn w:val="Normal"/>
    <w:next w:val="Normal"/>
    <w:autoRedefine/>
    <w:uiPriority w:val="39"/>
    <w:unhideWhenUsed/>
    <w:rsid w:val="00913C12"/>
    <w:pPr>
      <w:tabs>
        <w:tab w:val="left" w:pos="1200"/>
        <w:tab w:val="right" w:leader="dot" w:pos="8828"/>
      </w:tabs>
      <w:spacing w:after="100" w:line="360" w:lineRule="auto"/>
      <w:ind w:left="240"/>
    </w:pPr>
  </w:style>
  <w:style w:type="paragraph" w:styleId="Asuntodelcomentario">
    <w:name w:val="annotation subject"/>
    <w:basedOn w:val="Textocomentario"/>
    <w:next w:val="Textocomentario"/>
    <w:link w:val="AsuntodelcomentarioCar"/>
    <w:uiPriority w:val="99"/>
    <w:semiHidden/>
    <w:unhideWhenUsed/>
    <w:qFormat/>
    <w:rsid w:val="00790250"/>
    <w:pPr>
      <w:spacing w:after="0"/>
    </w:pPr>
    <w:rPr>
      <w:b/>
      <w:bCs/>
      <w:lang w:val="es-ES_tradnl"/>
    </w:rPr>
  </w:style>
  <w:style w:type="paragraph" w:styleId="Textonotaalfinal">
    <w:name w:val="endnote text"/>
    <w:basedOn w:val="Normal"/>
    <w:uiPriority w:val="99"/>
    <w:semiHidden/>
    <w:unhideWhenUsed/>
    <w:rsid w:val="0363BEB3"/>
    <w:rPr>
      <w:sz w:val="20"/>
      <w:szCs w:val="20"/>
    </w:rPr>
  </w:style>
  <w:style w:type="paragraph" w:styleId="Textonotapie">
    <w:name w:val="footnote text"/>
    <w:basedOn w:val="Normal"/>
    <w:link w:val="TextonotapieCar"/>
    <w:uiPriority w:val="99"/>
    <w:unhideWhenUsed/>
    <w:rsid w:val="0363BEB3"/>
    <w:rPr>
      <w:sz w:val="20"/>
      <w:szCs w:val="20"/>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C07EF1"/>
    <w:pPr>
      <w:tabs>
        <w:tab w:val="center" w:pos="4419"/>
        <w:tab w:val="right" w:pos="8838"/>
      </w:tabs>
    </w:pPr>
  </w:style>
  <w:style w:type="paragraph" w:styleId="Piedepgina">
    <w:name w:val="footer"/>
    <w:basedOn w:val="Normal"/>
    <w:link w:val="PiedepginaCar"/>
    <w:uiPriority w:val="99"/>
    <w:unhideWhenUsed/>
    <w:rsid w:val="00C07EF1"/>
    <w:pPr>
      <w:tabs>
        <w:tab w:val="center" w:pos="4419"/>
        <w:tab w:val="right" w:pos="8838"/>
      </w:tabs>
    </w:pPr>
  </w:style>
  <w:style w:type="paragraph" w:styleId="Subttulo">
    <w:name w:val="Subtitle"/>
    <w:basedOn w:val="Normal"/>
    <w:next w:val="Normal"/>
    <w:link w:val="SubttuloCar"/>
    <w:uiPriority w:val="11"/>
    <w:qFormat/>
    <w:rsid w:val="00104193"/>
    <w:pPr>
      <w:spacing w:after="160"/>
    </w:pPr>
    <w:rPr>
      <w:rFonts w:eastAsiaTheme="minorEastAsia"/>
      <w:color w:val="5A5A5A" w:themeColor="text1" w:themeTint="A5"/>
      <w:spacing w:val="15"/>
      <w:sz w:val="22"/>
      <w:szCs w:val="22"/>
    </w:rPr>
  </w:style>
  <w:style w:type="paragraph" w:styleId="Revisin">
    <w:name w:val="Revision"/>
    <w:uiPriority w:val="99"/>
    <w:semiHidden/>
    <w:qFormat/>
    <w:rsid w:val="00CD3FAA"/>
    <w:rPr>
      <w:rFonts w:ascii="Calibri" w:eastAsia="Calibri" w:hAnsi="Calibri" w:cs="Arial"/>
      <w:kern w:val="2"/>
      <w:sz w:val="24"/>
      <w:szCs w:val="24"/>
      <w:lang w:val="es-ES_tradnl"/>
      <w14:ligatures w14:val="standardContextual"/>
    </w:rPr>
  </w:style>
  <w:style w:type="paragraph" w:styleId="Tabladeilustraciones">
    <w:name w:val="table of figures"/>
    <w:basedOn w:val="Normal"/>
    <w:next w:val="Normal"/>
    <w:uiPriority w:val="99"/>
    <w:unhideWhenUsed/>
    <w:rsid w:val="008036C2"/>
  </w:style>
  <w:style w:type="paragraph" w:customStyle="1" w:styleId="p2">
    <w:name w:val="p2"/>
    <w:basedOn w:val="Normal"/>
    <w:qFormat/>
    <w:rsid w:val="007C65C4"/>
    <w:pPr>
      <w:spacing w:beforeAutospacing="1" w:afterAutospacing="1"/>
    </w:pPr>
  </w:style>
  <w:style w:type="paragraph" w:customStyle="1" w:styleId="paragraph">
    <w:name w:val="paragraph"/>
    <w:basedOn w:val="Normal"/>
    <w:qFormat/>
    <w:rsid w:val="00913C12"/>
    <w:pPr>
      <w:spacing w:beforeAutospacing="1" w:afterAutospacing="1"/>
    </w:pPr>
  </w:style>
  <w:style w:type="paragraph" w:styleId="TDC3">
    <w:name w:val="toc 3"/>
    <w:basedOn w:val="Normal"/>
    <w:next w:val="Normal"/>
    <w:autoRedefine/>
    <w:uiPriority w:val="39"/>
    <w:unhideWhenUsed/>
    <w:rsid w:val="00EA3126"/>
    <w:pPr>
      <w:spacing w:after="100"/>
      <w:ind w:left="480"/>
    </w:pPr>
  </w:style>
  <w:style w:type="table" w:styleId="Tablaconcuadrculaclara">
    <w:name w:val="Grid Table Light"/>
    <w:basedOn w:val="Tablanormal"/>
    <w:uiPriority w:val="40"/>
    <w:rsid w:val="007013EA"/>
    <w:rPr>
      <w:sz w:val="24"/>
      <w:szCs w:val="24"/>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Tablaconcuadrcula">
    <w:name w:val="Table Grid"/>
    <w:basedOn w:val="Tablanormal"/>
    <w:uiPriority w:val="39"/>
    <w:rsid w:val="004D23E1"/>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C30FD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delista4-nfasis1">
    <w:name w:val="List Table 4 Accent 1"/>
    <w:basedOn w:val="Tablanormal"/>
    <w:uiPriority w:val="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concuadrcula4-nfasis5">
    <w:name w:val="Grid Table 4 Accent 5"/>
    <w:basedOn w:val="Tablanormal"/>
    <w:uiPriority w:val="49"/>
    <w:rsid w:val="00F81D98"/>
    <w:rPr>
      <w:sz w:val="24"/>
      <w:szCs w:val="24"/>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cinsinresolver">
    <w:name w:val="Unresolved Mention"/>
    <w:basedOn w:val="Fuentedeprrafopredeter"/>
    <w:uiPriority w:val="99"/>
    <w:semiHidden/>
    <w:unhideWhenUsed/>
    <w:rsid w:val="00FE01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6197">
      <w:bodyDiv w:val="1"/>
      <w:marLeft w:val="0"/>
      <w:marRight w:val="0"/>
      <w:marTop w:val="0"/>
      <w:marBottom w:val="0"/>
      <w:divBdr>
        <w:top w:val="none" w:sz="0" w:space="0" w:color="auto"/>
        <w:left w:val="none" w:sz="0" w:space="0" w:color="auto"/>
        <w:bottom w:val="none" w:sz="0" w:space="0" w:color="auto"/>
        <w:right w:val="none" w:sz="0" w:space="0" w:color="auto"/>
      </w:divBdr>
    </w:div>
    <w:div w:id="40254088">
      <w:bodyDiv w:val="1"/>
      <w:marLeft w:val="0"/>
      <w:marRight w:val="0"/>
      <w:marTop w:val="0"/>
      <w:marBottom w:val="0"/>
      <w:divBdr>
        <w:top w:val="none" w:sz="0" w:space="0" w:color="auto"/>
        <w:left w:val="none" w:sz="0" w:space="0" w:color="auto"/>
        <w:bottom w:val="none" w:sz="0" w:space="0" w:color="auto"/>
        <w:right w:val="none" w:sz="0" w:space="0" w:color="auto"/>
      </w:divBdr>
    </w:div>
    <w:div w:id="57673461">
      <w:bodyDiv w:val="1"/>
      <w:marLeft w:val="0"/>
      <w:marRight w:val="0"/>
      <w:marTop w:val="0"/>
      <w:marBottom w:val="0"/>
      <w:divBdr>
        <w:top w:val="none" w:sz="0" w:space="0" w:color="auto"/>
        <w:left w:val="none" w:sz="0" w:space="0" w:color="auto"/>
        <w:bottom w:val="none" w:sz="0" w:space="0" w:color="auto"/>
        <w:right w:val="none" w:sz="0" w:space="0" w:color="auto"/>
      </w:divBdr>
    </w:div>
    <w:div w:id="66146824">
      <w:bodyDiv w:val="1"/>
      <w:marLeft w:val="0"/>
      <w:marRight w:val="0"/>
      <w:marTop w:val="0"/>
      <w:marBottom w:val="0"/>
      <w:divBdr>
        <w:top w:val="none" w:sz="0" w:space="0" w:color="auto"/>
        <w:left w:val="none" w:sz="0" w:space="0" w:color="auto"/>
        <w:bottom w:val="none" w:sz="0" w:space="0" w:color="auto"/>
        <w:right w:val="none" w:sz="0" w:space="0" w:color="auto"/>
      </w:divBdr>
    </w:div>
    <w:div w:id="134179498">
      <w:bodyDiv w:val="1"/>
      <w:marLeft w:val="0"/>
      <w:marRight w:val="0"/>
      <w:marTop w:val="0"/>
      <w:marBottom w:val="0"/>
      <w:divBdr>
        <w:top w:val="none" w:sz="0" w:space="0" w:color="auto"/>
        <w:left w:val="none" w:sz="0" w:space="0" w:color="auto"/>
        <w:bottom w:val="none" w:sz="0" w:space="0" w:color="auto"/>
        <w:right w:val="none" w:sz="0" w:space="0" w:color="auto"/>
      </w:divBdr>
    </w:div>
    <w:div w:id="204292378">
      <w:bodyDiv w:val="1"/>
      <w:marLeft w:val="0"/>
      <w:marRight w:val="0"/>
      <w:marTop w:val="0"/>
      <w:marBottom w:val="0"/>
      <w:divBdr>
        <w:top w:val="none" w:sz="0" w:space="0" w:color="auto"/>
        <w:left w:val="none" w:sz="0" w:space="0" w:color="auto"/>
        <w:bottom w:val="none" w:sz="0" w:space="0" w:color="auto"/>
        <w:right w:val="none" w:sz="0" w:space="0" w:color="auto"/>
      </w:divBdr>
    </w:div>
    <w:div w:id="213810146">
      <w:bodyDiv w:val="1"/>
      <w:marLeft w:val="0"/>
      <w:marRight w:val="0"/>
      <w:marTop w:val="0"/>
      <w:marBottom w:val="0"/>
      <w:divBdr>
        <w:top w:val="none" w:sz="0" w:space="0" w:color="auto"/>
        <w:left w:val="none" w:sz="0" w:space="0" w:color="auto"/>
        <w:bottom w:val="none" w:sz="0" w:space="0" w:color="auto"/>
        <w:right w:val="none" w:sz="0" w:space="0" w:color="auto"/>
      </w:divBdr>
    </w:div>
    <w:div w:id="240675978">
      <w:bodyDiv w:val="1"/>
      <w:marLeft w:val="0"/>
      <w:marRight w:val="0"/>
      <w:marTop w:val="0"/>
      <w:marBottom w:val="0"/>
      <w:divBdr>
        <w:top w:val="none" w:sz="0" w:space="0" w:color="auto"/>
        <w:left w:val="none" w:sz="0" w:space="0" w:color="auto"/>
        <w:bottom w:val="none" w:sz="0" w:space="0" w:color="auto"/>
        <w:right w:val="none" w:sz="0" w:space="0" w:color="auto"/>
      </w:divBdr>
    </w:div>
    <w:div w:id="245457956">
      <w:bodyDiv w:val="1"/>
      <w:marLeft w:val="0"/>
      <w:marRight w:val="0"/>
      <w:marTop w:val="0"/>
      <w:marBottom w:val="0"/>
      <w:divBdr>
        <w:top w:val="none" w:sz="0" w:space="0" w:color="auto"/>
        <w:left w:val="none" w:sz="0" w:space="0" w:color="auto"/>
        <w:bottom w:val="none" w:sz="0" w:space="0" w:color="auto"/>
        <w:right w:val="none" w:sz="0" w:space="0" w:color="auto"/>
      </w:divBdr>
    </w:div>
    <w:div w:id="280570917">
      <w:bodyDiv w:val="1"/>
      <w:marLeft w:val="0"/>
      <w:marRight w:val="0"/>
      <w:marTop w:val="0"/>
      <w:marBottom w:val="0"/>
      <w:divBdr>
        <w:top w:val="none" w:sz="0" w:space="0" w:color="auto"/>
        <w:left w:val="none" w:sz="0" w:space="0" w:color="auto"/>
        <w:bottom w:val="none" w:sz="0" w:space="0" w:color="auto"/>
        <w:right w:val="none" w:sz="0" w:space="0" w:color="auto"/>
      </w:divBdr>
    </w:div>
    <w:div w:id="301472294">
      <w:bodyDiv w:val="1"/>
      <w:marLeft w:val="0"/>
      <w:marRight w:val="0"/>
      <w:marTop w:val="0"/>
      <w:marBottom w:val="0"/>
      <w:divBdr>
        <w:top w:val="none" w:sz="0" w:space="0" w:color="auto"/>
        <w:left w:val="none" w:sz="0" w:space="0" w:color="auto"/>
        <w:bottom w:val="none" w:sz="0" w:space="0" w:color="auto"/>
        <w:right w:val="none" w:sz="0" w:space="0" w:color="auto"/>
      </w:divBdr>
    </w:div>
    <w:div w:id="345524546">
      <w:bodyDiv w:val="1"/>
      <w:marLeft w:val="0"/>
      <w:marRight w:val="0"/>
      <w:marTop w:val="0"/>
      <w:marBottom w:val="0"/>
      <w:divBdr>
        <w:top w:val="none" w:sz="0" w:space="0" w:color="auto"/>
        <w:left w:val="none" w:sz="0" w:space="0" w:color="auto"/>
        <w:bottom w:val="none" w:sz="0" w:space="0" w:color="auto"/>
        <w:right w:val="none" w:sz="0" w:space="0" w:color="auto"/>
      </w:divBdr>
    </w:div>
    <w:div w:id="364409276">
      <w:bodyDiv w:val="1"/>
      <w:marLeft w:val="0"/>
      <w:marRight w:val="0"/>
      <w:marTop w:val="0"/>
      <w:marBottom w:val="0"/>
      <w:divBdr>
        <w:top w:val="none" w:sz="0" w:space="0" w:color="auto"/>
        <w:left w:val="none" w:sz="0" w:space="0" w:color="auto"/>
        <w:bottom w:val="none" w:sz="0" w:space="0" w:color="auto"/>
        <w:right w:val="none" w:sz="0" w:space="0" w:color="auto"/>
      </w:divBdr>
    </w:div>
    <w:div w:id="399525986">
      <w:bodyDiv w:val="1"/>
      <w:marLeft w:val="0"/>
      <w:marRight w:val="0"/>
      <w:marTop w:val="0"/>
      <w:marBottom w:val="0"/>
      <w:divBdr>
        <w:top w:val="none" w:sz="0" w:space="0" w:color="auto"/>
        <w:left w:val="none" w:sz="0" w:space="0" w:color="auto"/>
        <w:bottom w:val="none" w:sz="0" w:space="0" w:color="auto"/>
        <w:right w:val="none" w:sz="0" w:space="0" w:color="auto"/>
      </w:divBdr>
    </w:div>
    <w:div w:id="423503730">
      <w:bodyDiv w:val="1"/>
      <w:marLeft w:val="0"/>
      <w:marRight w:val="0"/>
      <w:marTop w:val="0"/>
      <w:marBottom w:val="0"/>
      <w:divBdr>
        <w:top w:val="none" w:sz="0" w:space="0" w:color="auto"/>
        <w:left w:val="none" w:sz="0" w:space="0" w:color="auto"/>
        <w:bottom w:val="none" w:sz="0" w:space="0" w:color="auto"/>
        <w:right w:val="none" w:sz="0" w:space="0" w:color="auto"/>
      </w:divBdr>
    </w:div>
    <w:div w:id="429131822">
      <w:bodyDiv w:val="1"/>
      <w:marLeft w:val="0"/>
      <w:marRight w:val="0"/>
      <w:marTop w:val="0"/>
      <w:marBottom w:val="0"/>
      <w:divBdr>
        <w:top w:val="none" w:sz="0" w:space="0" w:color="auto"/>
        <w:left w:val="none" w:sz="0" w:space="0" w:color="auto"/>
        <w:bottom w:val="none" w:sz="0" w:space="0" w:color="auto"/>
        <w:right w:val="none" w:sz="0" w:space="0" w:color="auto"/>
      </w:divBdr>
    </w:div>
    <w:div w:id="433330313">
      <w:bodyDiv w:val="1"/>
      <w:marLeft w:val="0"/>
      <w:marRight w:val="0"/>
      <w:marTop w:val="0"/>
      <w:marBottom w:val="0"/>
      <w:divBdr>
        <w:top w:val="none" w:sz="0" w:space="0" w:color="auto"/>
        <w:left w:val="none" w:sz="0" w:space="0" w:color="auto"/>
        <w:bottom w:val="none" w:sz="0" w:space="0" w:color="auto"/>
        <w:right w:val="none" w:sz="0" w:space="0" w:color="auto"/>
      </w:divBdr>
    </w:div>
    <w:div w:id="442574340">
      <w:bodyDiv w:val="1"/>
      <w:marLeft w:val="0"/>
      <w:marRight w:val="0"/>
      <w:marTop w:val="0"/>
      <w:marBottom w:val="0"/>
      <w:divBdr>
        <w:top w:val="none" w:sz="0" w:space="0" w:color="auto"/>
        <w:left w:val="none" w:sz="0" w:space="0" w:color="auto"/>
        <w:bottom w:val="none" w:sz="0" w:space="0" w:color="auto"/>
        <w:right w:val="none" w:sz="0" w:space="0" w:color="auto"/>
      </w:divBdr>
    </w:div>
    <w:div w:id="467403898">
      <w:bodyDiv w:val="1"/>
      <w:marLeft w:val="0"/>
      <w:marRight w:val="0"/>
      <w:marTop w:val="0"/>
      <w:marBottom w:val="0"/>
      <w:divBdr>
        <w:top w:val="none" w:sz="0" w:space="0" w:color="auto"/>
        <w:left w:val="none" w:sz="0" w:space="0" w:color="auto"/>
        <w:bottom w:val="none" w:sz="0" w:space="0" w:color="auto"/>
        <w:right w:val="none" w:sz="0" w:space="0" w:color="auto"/>
      </w:divBdr>
    </w:div>
    <w:div w:id="474614311">
      <w:bodyDiv w:val="1"/>
      <w:marLeft w:val="0"/>
      <w:marRight w:val="0"/>
      <w:marTop w:val="0"/>
      <w:marBottom w:val="0"/>
      <w:divBdr>
        <w:top w:val="none" w:sz="0" w:space="0" w:color="auto"/>
        <w:left w:val="none" w:sz="0" w:space="0" w:color="auto"/>
        <w:bottom w:val="none" w:sz="0" w:space="0" w:color="auto"/>
        <w:right w:val="none" w:sz="0" w:space="0" w:color="auto"/>
      </w:divBdr>
    </w:div>
    <w:div w:id="539049306">
      <w:bodyDiv w:val="1"/>
      <w:marLeft w:val="0"/>
      <w:marRight w:val="0"/>
      <w:marTop w:val="0"/>
      <w:marBottom w:val="0"/>
      <w:divBdr>
        <w:top w:val="none" w:sz="0" w:space="0" w:color="auto"/>
        <w:left w:val="none" w:sz="0" w:space="0" w:color="auto"/>
        <w:bottom w:val="none" w:sz="0" w:space="0" w:color="auto"/>
        <w:right w:val="none" w:sz="0" w:space="0" w:color="auto"/>
      </w:divBdr>
    </w:div>
    <w:div w:id="541866557">
      <w:bodyDiv w:val="1"/>
      <w:marLeft w:val="0"/>
      <w:marRight w:val="0"/>
      <w:marTop w:val="0"/>
      <w:marBottom w:val="0"/>
      <w:divBdr>
        <w:top w:val="none" w:sz="0" w:space="0" w:color="auto"/>
        <w:left w:val="none" w:sz="0" w:space="0" w:color="auto"/>
        <w:bottom w:val="none" w:sz="0" w:space="0" w:color="auto"/>
        <w:right w:val="none" w:sz="0" w:space="0" w:color="auto"/>
      </w:divBdr>
    </w:div>
    <w:div w:id="573784272">
      <w:bodyDiv w:val="1"/>
      <w:marLeft w:val="0"/>
      <w:marRight w:val="0"/>
      <w:marTop w:val="0"/>
      <w:marBottom w:val="0"/>
      <w:divBdr>
        <w:top w:val="none" w:sz="0" w:space="0" w:color="auto"/>
        <w:left w:val="none" w:sz="0" w:space="0" w:color="auto"/>
        <w:bottom w:val="none" w:sz="0" w:space="0" w:color="auto"/>
        <w:right w:val="none" w:sz="0" w:space="0" w:color="auto"/>
      </w:divBdr>
    </w:div>
    <w:div w:id="574710193">
      <w:bodyDiv w:val="1"/>
      <w:marLeft w:val="0"/>
      <w:marRight w:val="0"/>
      <w:marTop w:val="0"/>
      <w:marBottom w:val="0"/>
      <w:divBdr>
        <w:top w:val="none" w:sz="0" w:space="0" w:color="auto"/>
        <w:left w:val="none" w:sz="0" w:space="0" w:color="auto"/>
        <w:bottom w:val="none" w:sz="0" w:space="0" w:color="auto"/>
        <w:right w:val="none" w:sz="0" w:space="0" w:color="auto"/>
      </w:divBdr>
    </w:div>
    <w:div w:id="589393421">
      <w:bodyDiv w:val="1"/>
      <w:marLeft w:val="0"/>
      <w:marRight w:val="0"/>
      <w:marTop w:val="0"/>
      <w:marBottom w:val="0"/>
      <w:divBdr>
        <w:top w:val="none" w:sz="0" w:space="0" w:color="auto"/>
        <w:left w:val="none" w:sz="0" w:space="0" w:color="auto"/>
        <w:bottom w:val="none" w:sz="0" w:space="0" w:color="auto"/>
        <w:right w:val="none" w:sz="0" w:space="0" w:color="auto"/>
      </w:divBdr>
    </w:div>
    <w:div w:id="620068650">
      <w:bodyDiv w:val="1"/>
      <w:marLeft w:val="0"/>
      <w:marRight w:val="0"/>
      <w:marTop w:val="0"/>
      <w:marBottom w:val="0"/>
      <w:divBdr>
        <w:top w:val="none" w:sz="0" w:space="0" w:color="auto"/>
        <w:left w:val="none" w:sz="0" w:space="0" w:color="auto"/>
        <w:bottom w:val="none" w:sz="0" w:space="0" w:color="auto"/>
        <w:right w:val="none" w:sz="0" w:space="0" w:color="auto"/>
      </w:divBdr>
    </w:div>
    <w:div w:id="742026184">
      <w:bodyDiv w:val="1"/>
      <w:marLeft w:val="0"/>
      <w:marRight w:val="0"/>
      <w:marTop w:val="0"/>
      <w:marBottom w:val="0"/>
      <w:divBdr>
        <w:top w:val="none" w:sz="0" w:space="0" w:color="auto"/>
        <w:left w:val="none" w:sz="0" w:space="0" w:color="auto"/>
        <w:bottom w:val="none" w:sz="0" w:space="0" w:color="auto"/>
        <w:right w:val="none" w:sz="0" w:space="0" w:color="auto"/>
      </w:divBdr>
    </w:div>
    <w:div w:id="745803567">
      <w:bodyDiv w:val="1"/>
      <w:marLeft w:val="0"/>
      <w:marRight w:val="0"/>
      <w:marTop w:val="0"/>
      <w:marBottom w:val="0"/>
      <w:divBdr>
        <w:top w:val="none" w:sz="0" w:space="0" w:color="auto"/>
        <w:left w:val="none" w:sz="0" w:space="0" w:color="auto"/>
        <w:bottom w:val="none" w:sz="0" w:space="0" w:color="auto"/>
        <w:right w:val="none" w:sz="0" w:space="0" w:color="auto"/>
      </w:divBdr>
    </w:div>
    <w:div w:id="747116679">
      <w:bodyDiv w:val="1"/>
      <w:marLeft w:val="0"/>
      <w:marRight w:val="0"/>
      <w:marTop w:val="0"/>
      <w:marBottom w:val="0"/>
      <w:divBdr>
        <w:top w:val="none" w:sz="0" w:space="0" w:color="auto"/>
        <w:left w:val="none" w:sz="0" w:space="0" w:color="auto"/>
        <w:bottom w:val="none" w:sz="0" w:space="0" w:color="auto"/>
        <w:right w:val="none" w:sz="0" w:space="0" w:color="auto"/>
      </w:divBdr>
    </w:div>
    <w:div w:id="748429327">
      <w:bodyDiv w:val="1"/>
      <w:marLeft w:val="0"/>
      <w:marRight w:val="0"/>
      <w:marTop w:val="0"/>
      <w:marBottom w:val="0"/>
      <w:divBdr>
        <w:top w:val="none" w:sz="0" w:space="0" w:color="auto"/>
        <w:left w:val="none" w:sz="0" w:space="0" w:color="auto"/>
        <w:bottom w:val="none" w:sz="0" w:space="0" w:color="auto"/>
        <w:right w:val="none" w:sz="0" w:space="0" w:color="auto"/>
      </w:divBdr>
    </w:div>
    <w:div w:id="772550369">
      <w:bodyDiv w:val="1"/>
      <w:marLeft w:val="0"/>
      <w:marRight w:val="0"/>
      <w:marTop w:val="0"/>
      <w:marBottom w:val="0"/>
      <w:divBdr>
        <w:top w:val="none" w:sz="0" w:space="0" w:color="auto"/>
        <w:left w:val="none" w:sz="0" w:space="0" w:color="auto"/>
        <w:bottom w:val="none" w:sz="0" w:space="0" w:color="auto"/>
        <w:right w:val="none" w:sz="0" w:space="0" w:color="auto"/>
      </w:divBdr>
    </w:div>
    <w:div w:id="774789039">
      <w:bodyDiv w:val="1"/>
      <w:marLeft w:val="0"/>
      <w:marRight w:val="0"/>
      <w:marTop w:val="0"/>
      <w:marBottom w:val="0"/>
      <w:divBdr>
        <w:top w:val="none" w:sz="0" w:space="0" w:color="auto"/>
        <w:left w:val="none" w:sz="0" w:space="0" w:color="auto"/>
        <w:bottom w:val="none" w:sz="0" w:space="0" w:color="auto"/>
        <w:right w:val="none" w:sz="0" w:space="0" w:color="auto"/>
      </w:divBdr>
    </w:div>
    <w:div w:id="783311677">
      <w:bodyDiv w:val="1"/>
      <w:marLeft w:val="0"/>
      <w:marRight w:val="0"/>
      <w:marTop w:val="0"/>
      <w:marBottom w:val="0"/>
      <w:divBdr>
        <w:top w:val="none" w:sz="0" w:space="0" w:color="auto"/>
        <w:left w:val="none" w:sz="0" w:space="0" w:color="auto"/>
        <w:bottom w:val="none" w:sz="0" w:space="0" w:color="auto"/>
        <w:right w:val="none" w:sz="0" w:space="0" w:color="auto"/>
      </w:divBdr>
    </w:div>
    <w:div w:id="797185546">
      <w:bodyDiv w:val="1"/>
      <w:marLeft w:val="0"/>
      <w:marRight w:val="0"/>
      <w:marTop w:val="0"/>
      <w:marBottom w:val="0"/>
      <w:divBdr>
        <w:top w:val="none" w:sz="0" w:space="0" w:color="auto"/>
        <w:left w:val="none" w:sz="0" w:space="0" w:color="auto"/>
        <w:bottom w:val="none" w:sz="0" w:space="0" w:color="auto"/>
        <w:right w:val="none" w:sz="0" w:space="0" w:color="auto"/>
      </w:divBdr>
    </w:div>
    <w:div w:id="856116317">
      <w:bodyDiv w:val="1"/>
      <w:marLeft w:val="0"/>
      <w:marRight w:val="0"/>
      <w:marTop w:val="0"/>
      <w:marBottom w:val="0"/>
      <w:divBdr>
        <w:top w:val="none" w:sz="0" w:space="0" w:color="auto"/>
        <w:left w:val="none" w:sz="0" w:space="0" w:color="auto"/>
        <w:bottom w:val="none" w:sz="0" w:space="0" w:color="auto"/>
        <w:right w:val="none" w:sz="0" w:space="0" w:color="auto"/>
      </w:divBdr>
    </w:div>
    <w:div w:id="870531221">
      <w:bodyDiv w:val="1"/>
      <w:marLeft w:val="0"/>
      <w:marRight w:val="0"/>
      <w:marTop w:val="0"/>
      <w:marBottom w:val="0"/>
      <w:divBdr>
        <w:top w:val="none" w:sz="0" w:space="0" w:color="auto"/>
        <w:left w:val="none" w:sz="0" w:space="0" w:color="auto"/>
        <w:bottom w:val="none" w:sz="0" w:space="0" w:color="auto"/>
        <w:right w:val="none" w:sz="0" w:space="0" w:color="auto"/>
      </w:divBdr>
    </w:div>
    <w:div w:id="884415963">
      <w:bodyDiv w:val="1"/>
      <w:marLeft w:val="0"/>
      <w:marRight w:val="0"/>
      <w:marTop w:val="0"/>
      <w:marBottom w:val="0"/>
      <w:divBdr>
        <w:top w:val="none" w:sz="0" w:space="0" w:color="auto"/>
        <w:left w:val="none" w:sz="0" w:space="0" w:color="auto"/>
        <w:bottom w:val="none" w:sz="0" w:space="0" w:color="auto"/>
        <w:right w:val="none" w:sz="0" w:space="0" w:color="auto"/>
      </w:divBdr>
    </w:div>
    <w:div w:id="911962802">
      <w:bodyDiv w:val="1"/>
      <w:marLeft w:val="0"/>
      <w:marRight w:val="0"/>
      <w:marTop w:val="0"/>
      <w:marBottom w:val="0"/>
      <w:divBdr>
        <w:top w:val="none" w:sz="0" w:space="0" w:color="auto"/>
        <w:left w:val="none" w:sz="0" w:space="0" w:color="auto"/>
        <w:bottom w:val="none" w:sz="0" w:space="0" w:color="auto"/>
        <w:right w:val="none" w:sz="0" w:space="0" w:color="auto"/>
      </w:divBdr>
    </w:div>
    <w:div w:id="919679177">
      <w:bodyDiv w:val="1"/>
      <w:marLeft w:val="0"/>
      <w:marRight w:val="0"/>
      <w:marTop w:val="0"/>
      <w:marBottom w:val="0"/>
      <w:divBdr>
        <w:top w:val="none" w:sz="0" w:space="0" w:color="auto"/>
        <w:left w:val="none" w:sz="0" w:space="0" w:color="auto"/>
        <w:bottom w:val="none" w:sz="0" w:space="0" w:color="auto"/>
        <w:right w:val="none" w:sz="0" w:space="0" w:color="auto"/>
      </w:divBdr>
    </w:div>
    <w:div w:id="1005745495">
      <w:bodyDiv w:val="1"/>
      <w:marLeft w:val="0"/>
      <w:marRight w:val="0"/>
      <w:marTop w:val="0"/>
      <w:marBottom w:val="0"/>
      <w:divBdr>
        <w:top w:val="none" w:sz="0" w:space="0" w:color="auto"/>
        <w:left w:val="none" w:sz="0" w:space="0" w:color="auto"/>
        <w:bottom w:val="none" w:sz="0" w:space="0" w:color="auto"/>
        <w:right w:val="none" w:sz="0" w:space="0" w:color="auto"/>
      </w:divBdr>
    </w:div>
    <w:div w:id="1094785866">
      <w:bodyDiv w:val="1"/>
      <w:marLeft w:val="0"/>
      <w:marRight w:val="0"/>
      <w:marTop w:val="0"/>
      <w:marBottom w:val="0"/>
      <w:divBdr>
        <w:top w:val="none" w:sz="0" w:space="0" w:color="auto"/>
        <w:left w:val="none" w:sz="0" w:space="0" w:color="auto"/>
        <w:bottom w:val="none" w:sz="0" w:space="0" w:color="auto"/>
        <w:right w:val="none" w:sz="0" w:space="0" w:color="auto"/>
      </w:divBdr>
    </w:div>
    <w:div w:id="1096555923">
      <w:bodyDiv w:val="1"/>
      <w:marLeft w:val="0"/>
      <w:marRight w:val="0"/>
      <w:marTop w:val="0"/>
      <w:marBottom w:val="0"/>
      <w:divBdr>
        <w:top w:val="none" w:sz="0" w:space="0" w:color="auto"/>
        <w:left w:val="none" w:sz="0" w:space="0" w:color="auto"/>
        <w:bottom w:val="none" w:sz="0" w:space="0" w:color="auto"/>
        <w:right w:val="none" w:sz="0" w:space="0" w:color="auto"/>
      </w:divBdr>
    </w:div>
    <w:div w:id="1117287374">
      <w:bodyDiv w:val="1"/>
      <w:marLeft w:val="0"/>
      <w:marRight w:val="0"/>
      <w:marTop w:val="0"/>
      <w:marBottom w:val="0"/>
      <w:divBdr>
        <w:top w:val="none" w:sz="0" w:space="0" w:color="auto"/>
        <w:left w:val="none" w:sz="0" w:space="0" w:color="auto"/>
        <w:bottom w:val="none" w:sz="0" w:space="0" w:color="auto"/>
        <w:right w:val="none" w:sz="0" w:space="0" w:color="auto"/>
      </w:divBdr>
    </w:div>
    <w:div w:id="1139111911">
      <w:bodyDiv w:val="1"/>
      <w:marLeft w:val="0"/>
      <w:marRight w:val="0"/>
      <w:marTop w:val="0"/>
      <w:marBottom w:val="0"/>
      <w:divBdr>
        <w:top w:val="none" w:sz="0" w:space="0" w:color="auto"/>
        <w:left w:val="none" w:sz="0" w:space="0" w:color="auto"/>
        <w:bottom w:val="none" w:sz="0" w:space="0" w:color="auto"/>
        <w:right w:val="none" w:sz="0" w:space="0" w:color="auto"/>
      </w:divBdr>
    </w:div>
    <w:div w:id="1139883816">
      <w:bodyDiv w:val="1"/>
      <w:marLeft w:val="0"/>
      <w:marRight w:val="0"/>
      <w:marTop w:val="0"/>
      <w:marBottom w:val="0"/>
      <w:divBdr>
        <w:top w:val="none" w:sz="0" w:space="0" w:color="auto"/>
        <w:left w:val="none" w:sz="0" w:space="0" w:color="auto"/>
        <w:bottom w:val="none" w:sz="0" w:space="0" w:color="auto"/>
        <w:right w:val="none" w:sz="0" w:space="0" w:color="auto"/>
      </w:divBdr>
    </w:div>
    <w:div w:id="1200700971">
      <w:bodyDiv w:val="1"/>
      <w:marLeft w:val="0"/>
      <w:marRight w:val="0"/>
      <w:marTop w:val="0"/>
      <w:marBottom w:val="0"/>
      <w:divBdr>
        <w:top w:val="none" w:sz="0" w:space="0" w:color="auto"/>
        <w:left w:val="none" w:sz="0" w:space="0" w:color="auto"/>
        <w:bottom w:val="none" w:sz="0" w:space="0" w:color="auto"/>
        <w:right w:val="none" w:sz="0" w:space="0" w:color="auto"/>
      </w:divBdr>
    </w:div>
    <w:div w:id="1209802000">
      <w:bodyDiv w:val="1"/>
      <w:marLeft w:val="0"/>
      <w:marRight w:val="0"/>
      <w:marTop w:val="0"/>
      <w:marBottom w:val="0"/>
      <w:divBdr>
        <w:top w:val="none" w:sz="0" w:space="0" w:color="auto"/>
        <w:left w:val="none" w:sz="0" w:space="0" w:color="auto"/>
        <w:bottom w:val="none" w:sz="0" w:space="0" w:color="auto"/>
        <w:right w:val="none" w:sz="0" w:space="0" w:color="auto"/>
      </w:divBdr>
    </w:div>
    <w:div w:id="1262756444">
      <w:bodyDiv w:val="1"/>
      <w:marLeft w:val="0"/>
      <w:marRight w:val="0"/>
      <w:marTop w:val="0"/>
      <w:marBottom w:val="0"/>
      <w:divBdr>
        <w:top w:val="none" w:sz="0" w:space="0" w:color="auto"/>
        <w:left w:val="none" w:sz="0" w:space="0" w:color="auto"/>
        <w:bottom w:val="none" w:sz="0" w:space="0" w:color="auto"/>
        <w:right w:val="none" w:sz="0" w:space="0" w:color="auto"/>
      </w:divBdr>
    </w:div>
    <w:div w:id="1274945060">
      <w:bodyDiv w:val="1"/>
      <w:marLeft w:val="0"/>
      <w:marRight w:val="0"/>
      <w:marTop w:val="0"/>
      <w:marBottom w:val="0"/>
      <w:divBdr>
        <w:top w:val="none" w:sz="0" w:space="0" w:color="auto"/>
        <w:left w:val="none" w:sz="0" w:space="0" w:color="auto"/>
        <w:bottom w:val="none" w:sz="0" w:space="0" w:color="auto"/>
        <w:right w:val="none" w:sz="0" w:space="0" w:color="auto"/>
      </w:divBdr>
    </w:div>
    <w:div w:id="1283078897">
      <w:bodyDiv w:val="1"/>
      <w:marLeft w:val="0"/>
      <w:marRight w:val="0"/>
      <w:marTop w:val="0"/>
      <w:marBottom w:val="0"/>
      <w:divBdr>
        <w:top w:val="none" w:sz="0" w:space="0" w:color="auto"/>
        <w:left w:val="none" w:sz="0" w:space="0" w:color="auto"/>
        <w:bottom w:val="none" w:sz="0" w:space="0" w:color="auto"/>
        <w:right w:val="none" w:sz="0" w:space="0" w:color="auto"/>
      </w:divBdr>
    </w:div>
    <w:div w:id="1285117726">
      <w:bodyDiv w:val="1"/>
      <w:marLeft w:val="0"/>
      <w:marRight w:val="0"/>
      <w:marTop w:val="0"/>
      <w:marBottom w:val="0"/>
      <w:divBdr>
        <w:top w:val="none" w:sz="0" w:space="0" w:color="auto"/>
        <w:left w:val="none" w:sz="0" w:space="0" w:color="auto"/>
        <w:bottom w:val="none" w:sz="0" w:space="0" w:color="auto"/>
        <w:right w:val="none" w:sz="0" w:space="0" w:color="auto"/>
      </w:divBdr>
    </w:div>
    <w:div w:id="1318999267">
      <w:bodyDiv w:val="1"/>
      <w:marLeft w:val="0"/>
      <w:marRight w:val="0"/>
      <w:marTop w:val="0"/>
      <w:marBottom w:val="0"/>
      <w:divBdr>
        <w:top w:val="none" w:sz="0" w:space="0" w:color="auto"/>
        <w:left w:val="none" w:sz="0" w:space="0" w:color="auto"/>
        <w:bottom w:val="none" w:sz="0" w:space="0" w:color="auto"/>
        <w:right w:val="none" w:sz="0" w:space="0" w:color="auto"/>
      </w:divBdr>
    </w:div>
    <w:div w:id="1472868219">
      <w:bodyDiv w:val="1"/>
      <w:marLeft w:val="0"/>
      <w:marRight w:val="0"/>
      <w:marTop w:val="0"/>
      <w:marBottom w:val="0"/>
      <w:divBdr>
        <w:top w:val="none" w:sz="0" w:space="0" w:color="auto"/>
        <w:left w:val="none" w:sz="0" w:space="0" w:color="auto"/>
        <w:bottom w:val="none" w:sz="0" w:space="0" w:color="auto"/>
        <w:right w:val="none" w:sz="0" w:space="0" w:color="auto"/>
      </w:divBdr>
    </w:div>
    <w:div w:id="1513371462">
      <w:bodyDiv w:val="1"/>
      <w:marLeft w:val="0"/>
      <w:marRight w:val="0"/>
      <w:marTop w:val="0"/>
      <w:marBottom w:val="0"/>
      <w:divBdr>
        <w:top w:val="none" w:sz="0" w:space="0" w:color="auto"/>
        <w:left w:val="none" w:sz="0" w:space="0" w:color="auto"/>
        <w:bottom w:val="none" w:sz="0" w:space="0" w:color="auto"/>
        <w:right w:val="none" w:sz="0" w:space="0" w:color="auto"/>
      </w:divBdr>
    </w:div>
    <w:div w:id="1613439167">
      <w:bodyDiv w:val="1"/>
      <w:marLeft w:val="0"/>
      <w:marRight w:val="0"/>
      <w:marTop w:val="0"/>
      <w:marBottom w:val="0"/>
      <w:divBdr>
        <w:top w:val="none" w:sz="0" w:space="0" w:color="auto"/>
        <w:left w:val="none" w:sz="0" w:space="0" w:color="auto"/>
        <w:bottom w:val="none" w:sz="0" w:space="0" w:color="auto"/>
        <w:right w:val="none" w:sz="0" w:space="0" w:color="auto"/>
      </w:divBdr>
    </w:div>
    <w:div w:id="1646275639">
      <w:bodyDiv w:val="1"/>
      <w:marLeft w:val="0"/>
      <w:marRight w:val="0"/>
      <w:marTop w:val="0"/>
      <w:marBottom w:val="0"/>
      <w:divBdr>
        <w:top w:val="none" w:sz="0" w:space="0" w:color="auto"/>
        <w:left w:val="none" w:sz="0" w:space="0" w:color="auto"/>
        <w:bottom w:val="none" w:sz="0" w:space="0" w:color="auto"/>
        <w:right w:val="none" w:sz="0" w:space="0" w:color="auto"/>
      </w:divBdr>
    </w:div>
    <w:div w:id="1681468635">
      <w:bodyDiv w:val="1"/>
      <w:marLeft w:val="0"/>
      <w:marRight w:val="0"/>
      <w:marTop w:val="0"/>
      <w:marBottom w:val="0"/>
      <w:divBdr>
        <w:top w:val="none" w:sz="0" w:space="0" w:color="auto"/>
        <w:left w:val="none" w:sz="0" w:space="0" w:color="auto"/>
        <w:bottom w:val="none" w:sz="0" w:space="0" w:color="auto"/>
        <w:right w:val="none" w:sz="0" w:space="0" w:color="auto"/>
      </w:divBdr>
    </w:div>
    <w:div w:id="1705862515">
      <w:bodyDiv w:val="1"/>
      <w:marLeft w:val="0"/>
      <w:marRight w:val="0"/>
      <w:marTop w:val="0"/>
      <w:marBottom w:val="0"/>
      <w:divBdr>
        <w:top w:val="none" w:sz="0" w:space="0" w:color="auto"/>
        <w:left w:val="none" w:sz="0" w:space="0" w:color="auto"/>
        <w:bottom w:val="none" w:sz="0" w:space="0" w:color="auto"/>
        <w:right w:val="none" w:sz="0" w:space="0" w:color="auto"/>
      </w:divBdr>
    </w:div>
    <w:div w:id="1734236137">
      <w:bodyDiv w:val="1"/>
      <w:marLeft w:val="0"/>
      <w:marRight w:val="0"/>
      <w:marTop w:val="0"/>
      <w:marBottom w:val="0"/>
      <w:divBdr>
        <w:top w:val="none" w:sz="0" w:space="0" w:color="auto"/>
        <w:left w:val="none" w:sz="0" w:space="0" w:color="auto"/>
        <w:bottom w:val="none" w:sz="0" w:space="0" w:color="auto"/>
        <w:right w:val="none" w:sz="0" w:space="0" w:color="auto"/>
      </w:divBdr>
    </w:div>
    <w:div w:id="1783107546">
      <w:bodyDiv w:val="1"/>
      <w:marLeft w:val="0"/>
      <w:marRight w:val="0"/>
      <w:marTop w:val="0"/>
      <w:marBottom w:val="0"/>
      <w:divBdr>
        <w:top w:val="none" w:sz="0" w:space="0" w:color="auto"/>
        <w:left w:val="none" w:sz="0" w:space="0" w:color="auto"/>
        <w:bottom w:val="none" w:sz="0" w:space="0" w:color="auto"/>
        <w:right w:val="none" w:sz="0" w:space="0" w:color="auto"/>
      </w:divBdr>
    </w:div>
    <w:div w:id="1816993929">
      <w:bodyDiv w:val="1"/>
      <w:marLeft w:val="0"/>
      <w:marRight w:val="0"/>
      <w:marTop w:val="0"/>
      <w:marBottom w:val="0"/>
      <w:divBdr>
        <w:top w:val="none" w:sz="0" w:space="0" w:color="auto"/>
        <w:left w:val="none" w:sz="0" w:space="0" w:color="auto"/>
        <w:bottom w:val="none" w:sz="0" w:space="0" w:color="auto"/>
        <w:right w:val="none" w:sz="0" w:space="0" w:color="auto"/>
      </w:divBdr>
    </w:div>
    <w:div w:id="1858695477">
      <w:bodyDiv w:val="1"/>
      <w:marLeft w:val="0"/>
      <w:marRight w:val="0"/>
      <w:marTop w:val="0"/>
      <w:marBottom w:val="0"/>
      <w:divBdr>
        <w:top w:val="none" w:sz="0" w:space="0" w:color="auto"/>
        <w:left w:val="none" w:sz="0" w:space="0" w:color="auto"/>
        <w:bottom w:val="none" w:sz="0" w:space="0" w:color="auto"/>
        <w:right w:val="none" w:sz="0" w:space="0" w:color="auto"/>
      </w:divBdr>
    </w:div>
    <w:div w:id="1866823667">
      <w:bodyDiv w:val="1"/>
      <w:marLeft w:val="0"/>
      <w:marRight w:val="0"/>
      <w:marTop w:val="0"/>
      <w:marBottom w:val="0"/>
      <w:divBdr>
        <w:top w:val="none" w:sz="0" w:space="0" w:color="auto"/>
        <w:left w:val="none" w:sz="0" w:space="0" w:color="auto"/>
        <w:bottom w:val="none" w:sz="0" w:space="0" w:color="auto"/>
        <w:right w:val="none" w:sz="0" w:space="0" w:color="auto"/>
      </w:divBdr>
    </w:div>
    <w:div w:id="1877503922">
      <w:bodyDiv w:val="1"/>
      <w:marLeft w:val="0"/>
      <w:marRight w:val="0"/>
      <w:marTop w:val="0"/>
      <w:marBottom w:val="0"/>
      <w:divBdr>
        <w:top w:val="none" w:sz="0" w:space="0" w:color="auto"/>
        <w:left w:val="none" w:sz="0" w:space="0" w:color="auto"/>
        <w:bottom w:val="none" w:sz="0" w:space="0" w:color="auto"/>
        <w:right w:val="none" w:sz="0" w:space="0" w:color="auto"/>
      </w:divBdr>
    </w:div>
    <w:div w:id="1920208757">
      <w:bodyDiv w:val="1"/>
      <w:marLeft w:val="0"/>
      <w:marRight w:val="0"/>
      <w:marTop w:val="0"/>
      <w:marBottom w:val="0"/>
      <w:divBdr>
        <w:top w:val="none" w:sz="0" w:space="0" w:color="auto"/>
        <w:left w:val="none" w:sz="0" w:space="0" w:color="auto"/>
        <w:bottom w:val="none" w:sz="0" w:space="0" w:color="auto"/>
        <w:right w:val="none" w:sz="0" w:space="0" w:color="auto"/>
      </w:divBdr>
    </w:div>
    <w:div w:id="1925382256">
      <w:bodyDiv w:val="1"/>
      <w:marLeft w:val="0"/>
      <w:marRight w:val="0"/>
      <w:marTop w:val="0"/>
      <w:marBottom w:val="0"/>
      <w:divBdr>
        <w:top w:val="none" w:sz="0" w:space="0" w:color="auto"/>
        <w:left w:val="none" w:sz="0" w:space="0" w:color="auto"/>
        <w:bottom w:val="none" w:sz="0" w:space="0" w:color="auto"/>
        <w:right w:val="none" w:sz="0" w:space="0" w:color="auto"/>
      </w:divBdr>
    </w:div>
    <w:div w:id="1969895058">
      <w:bodyDiv w:val="1"/>
      <w:marLeft w:val="0"/>
      <w:marRight w:val="0"/>
      <w:marTop w:val="0"/>
      <w:marBottom w:val="0"/>
      <w:divBdr>
        <w:top w:val="none" w:sz="0" w:space="0" w:color="auto"/>
        <w:left w:val="none" w:sz="0" w:space="0" w:color="auto"/>
        <w:bottom w:val="none" w:sz="0" w:space="0" w:color="auto"/>
        <w:right w:val="none" w:sz="0" w:space="0" w:color="auto"/>
      </w:divBdr>
    </w:div>
    <w:div w:id="2001081530">
      <w:bodyDiv w:val="1"/>
      <w:marLeft w:val="0"/>
      <w:marRight w:val="0"/>
      <w:marTop w:val="0"/>
      <w:marBottom w:val="0"/>
      <w:divBdr>
        <w:top w:val="none" w:sz="0" w:space="0" w:color="auto"/>
        <w:left w:val="none" w:sz="0" w:space="0" w:color="auto"/>
        <w:bottom w:val="none" w:sz="0" w:space="0" w:color="auto"/>
        <w:right w:val="none" w:sz="0" w:space="0" w:color="auto"/>
      </w:divBdr>
    </w:div>
    <w:div w:id="2053722720">
      <w:bodyDiv w:val="1"/>
      <w:marLeft w:val="0"/>
      <w:marRight w:val="0"/>
      <w:marTop w:val="0"/>
      <w:marBottom w:val="0"/>
      <w:divBdr>
        <w:top w:val="none" w:sz="0" w:space="0" w:color="auto"/>
        <w:left w:val="none" w:sz="0" w:space="0" w:color="auto"/>
        <w:bottom w:val="none" w:sz="0" w:space="0" w:color="auto"/>
        <w:right w:val="none" w:sz="0" w:space="0" w:color="auto"/>
      </w:divBdr>
    </w:div>
    <w:div w:id="2107966986">
      <w:bodyDiv w:val="1"/>
      <w:marLeft w:val="0"/>
      <w:marRight w:val="0"/>
      <w:marTop w:val="0"/>
      <w:marBottom w:val="0"/>
      <w:divBdr>
        <w:top w:val="none" w:sz="0" w:space="0" w:color="auto"/>
        <w:left w:val="none" w:sz="0" w:space="0" w:color="auto"/>
        <w:bottom w:val="none" w:sz="0" w:space="0" w:color="auto"/>
        <w:right w:val="none" w:sz="0" w:space="0" w:color="auto"/>
      </w:divBdr>
    </w:div>
    <w:div w:id="2141534703">
      <w:bodyDiv w:val="1"/>
      <w:marLeft w:val="0"/>
      <w:marRight w:val="0"/>
      <w:marTop w:val="0"/>
      <w:marBottom w:val="0"/>
      <w:divBdr>
        <w:top w:val="none" w:sz="0" w:space="0" w:color="auto"/>
        <w:left w:val="none" w:sz="0" w:space="0" w:color="auto"/>
        <w:bottom w:val="none" w:sz="0" w:space="0" w:color="auto"/>
        <w:right w:val="none" w:sz="0" w:space="0" w:color="auto"/>
      </w:divBdr>
    </w:div>
    <w:div w:id="2145342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minsalud.gov.co/proteccionsocial/paginas/cifras-aseguramiento-salud.aspx" TargetMode="External"/><Relationship Id="rId18" Type="http://schemas.openxmlformats.org/officeDocument/2006/relationships/hyperlink" Target="https://www.minsalud.gov.co/proteccionsocial/Paginas/cifras-aseguramiento-salud.aspx" TargetMode="External"/><Relationship Id="rId26" Type="http://schemas.openxmlformats.org/officeDocument/2006/relationships/hyperlink" Target="https://mapas.supersalud.gov.co/arcgisportal/apps/sites/" TargetMode="External"/><Relationship Id="rId39" Type="http://schemas.openxmlformats.org/officeDocument/2006/relationships/hyperlink" Target="https://www.dane.gov.co/files/investigaciones/poblacion/defunciones/DT-homolgacion-listas-causas-agrupadas-dic-2020.pdf" TargetMode="External"/><Relationship Id="rId21" Type="http://schemas.openxmlformats.org/officeDocument/2006/relationships/chart" Target="charts/chart3.xml"/><Relationship Id="rId34" Type="http://schemas.openxmlformats.org/officeDocument/2006/relationships/hyperlink" Target="https://www.secretariasenado.gov.co/senado/basedoc/ley_1437_2011.html" TargetMode="External"/><Relationship Id="rId42" Type="http://schemas.openxmlformats.org/officeDocument/2006/relationships/hyperlink" Target="https://www.alcaldiabogota.gov.co/sisjur/normas/Norma1.jsp?i=53191" TargetMode="External"/><Relationship Id="rId47" Type="http://schemas.openxmlformats.org/officeDocument/2006/relationships/hyperlink" Target="https://www.minsalud.gov.co/proteccionsocial/paginas/cifras-aseguramiento-salud.aspx" TargetMode="External"/><Relationship Id="rId50" Type="http://schemas.openxmlformats.org/officeDocument/2006/relationships/hyperlink" Target="https://www.funcionpublica.gov.co/eva/gestornormativo/norma.php?i=28571" TargetMode="External"/><Relationship Id="rId55" Type="http://schemas.openxmlformats.org/officeDocument/2006/relationships/hyperlink" Target="https://www.alcaldiabogota.gov.co/sisjur/normas/Norma1.jsp?i=190983"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minsalud.gov.co/proteccionsocial/paginas/cifras-aseguramiento-salud.aspx" TargetMode="External"/><Relationship Id="rId29" Type="http://schemas.openxmlformats.org/officeDocument/2006/relationships/chart" Target="charts/chart7.xml"/><Relationship Id="rId11" Type="http://schemas.openxmlformats.org/officeDocument/2006/relationships/image" Target="media/image1.png"/><Relationship Id="rId24" Type="http://schemas.openxmlformats.org/officeDocument/2006/relationships/chart" Target="charts/chart4.xml"/><Relationship Id="rId32" Type="http://schemas.openxmlformats.org/officeDocument/2006/relationships/hyperlink" Target="https://www.secretariasenado.gov.co/senado/basedoc/ley_0715_2001.html" TargetMode="External"/><Relationship Id="rId37" Type="http://schemas.openxmlformats.org/officeDocument/2006/relationships/hyperlink" Target="https://www.secretariasenado.gov.co/senado/basedoc/ley_1755_2015.html" TargetMode="External"/><Relationship Id="rId40" Type="http://schemas.openxmlformats.org/officeDocument/2006/relationships/hyperlink" Target="https://www.dane.gov.co/index.php/estadisticas-por-tema/demografia-y-poblacion/proyecciones-de-poblacion" TargetMode="External"/><Relationship Id="rId45" Type="http://schemas.openxmlformats.org/officeDocument/2006/relationships/hyperlink" Target="https://www.minsalud.gov.co/Normatividad_Nuevo/Resoluci%C3%B3n%20No%202335%20de%202023.pdf" TargetMode="External"/><Relationship Id="rId53" Type="http://schemas.openxmlformats.org/officeDocument/2006/relationships/hyperlink" Target="https://www.funcionpublica.gov.co/eva/gestornormativo/norma.php?i=184728" TargetMode="External"/><Relationship Id="rId58" Type="http://schemas.openxmlformats.org/officeDocument/2006/relationships/hyperlink" Target="https://docs.supersalud.gov.co/PortalWeb/Juridica/CircularesExterna/Circular%20externa%20n%C3%BAmero%20%202025151000000005-5%20de%202025.pdf" TargetMode="External"/><Relationship Id="rId5" Type="http://schemas.openxmlformats.org/officeDocument/2006/relationships/numbering" Target="numbering.xml"/><Relationship Id="rId61" Type="http://schemas.openxmlformats.org/officeDocument/2006/relationships/hyperlink" Target="https://app.powerbi.com/view?r=eyJrIjoiYTMwY2Y4ZjEtNWI0MC00YjAxLThjOGUtMjdiYWZhZjVlZjgzIiwidCI6IjE3YzQwYzUxLWIxZGYtNGUyNS04Y2Q2LTlkMGQyNjc4ODMwMCIsImMiOjR9" TargetMode="External"/><Relationship Id="rId19" Type="http://schemas.openxmlformats.org/officeDocument/2006/relationships/chart" Target="charts/chart2.xml"/><Relationship Id="rId14" Type="http://schemas.openxmlformats.org/officeDocument/2006/relationships/chart" Target="charts/chart1.xml"/><Relationship Id="rId22" Type="http://schemas.openxmlformats.org/officeDocument/2006/relationships/hyperlink" Target="https://www.supersalud.gov.co/es-co/transparencia-y-acceso-a-la-informacion-publica/datos-abiertos/seccion-de-datos-abiertos" TargetMode="External"/><Relationship Id="rId27" Type="http://schemas.openxmlformats.org/officeDocument/2006/relationships/chart" Target="charts/chart5.xml"/><Relationship Id="rId30" Type="http://schemas.openxmlformats.org/officeDocument/2006/relationships/hyperlink" Target="https://servicios.adres.gov.co/BDUA/Consulta-Afiliados-BDUA" TargetMode="External"/><Relationship Id="rId35" Type="http://schemas.openxmlformats.org/officeDocument/2006/relationships/hyperlink" Target="https://www.secretariasenado.gov.co/senado/basedoc/ley_1438_2011.html" TargetMode="External"/><Relationship Id="rId43" Type="http://schemas.openxmlformats.org/officeDocument/2006/relationships/hyperlink" Target="https://www.minsalud.gov.co/Normatividad_Nuevo/Resoluci%C3%B3n%203202%20de%202016.pdf" TargetMode="External"/><Relationship Id="rId48" Type="http://schemas.openxmlformats.org/officeDocument/2006/relationships/hyperlink" Target="https://public.tableau.com/app/profile/minsaludcol/viz/CifrasAseguramientoenSalud_16166927767750/Aseguramiento" TargetMode="External"/><Relationship Id="rId56" Type="http://schemas.openxmlformats.org/officeDocument/2006/relationships/hyperlink" Target="https://www.alcaldiabogota.gov.co/sisjur/normas/Norma1.jsp?i=143808" TargetMode="External"/><Relationship Id="rId8" Type="http://schemas.openxmlformats.org/officeDocument/2006/relationships/webSettings" Target="webSettings.xml"/><Relationship Id="rId51" Type="http://schemas.openxmlformats.org/officeDocument/2006/relationships/hyperlink" Target="https://www.funcionpublica.gov.co/eva/gestornormativo/norma.php?i=45322" TargetMode="External"/><Relationship Id="rId3" Type="http://schemas.openxmlformats.org/officeDocument/2006/relationships/customXml" Target="../customXml/item3.xml"/><Relationship Id="rId12" Type="http://schemas.openxmlformats.org/officeDocument/2006/relationships/hyperlink" Target="https://public.tableau.com/app/profile/minsaludcol/viz/CifrasAseguramientoenSalud_16166927767750/Aseguramiento" TargetMode="External"/><Relationship Id="rId17" Type="http://schemas.openxmlformats.org/officeDocument/2006/relationships/hyperlink" Target="https://public.tableau.com/app/profile/minsaludcol/viz/CifrasAseguramientoenSalud_16166927767750/Aseguramiento" TargetMode="External"/><Relationship Id="rId25" Type="http://schemas.openxmlformats.org/officeDocument/2006/relationships/hyperlink" Target="https://mapas.supersalud.gov.co/arcgisportal/apps/sites/" TargetMode="External"/><Relationship Id="rId33" Type="http://schemas.openxmlformats.org/officeDocument/2006/relationships/hyperlink" Target="https://www.secretariasenado.gov.co/senado/basedoc/ley_1122_2007.html" TargetMode="External"/><Relationship Id="rId38" Type="http://schemas.openxmlformats.org/officeDocument/2006/relationships/hyperlink" Target="https://www.secretariasenado.gov.co/senado/basedoc/ley_1949_2019.html" TargetMode="External"/><Relationship Id="rId46" Type="http://schemas.openxmlformats.org/officeDocument/2006/relationships/hyperlink" Target="https://www.minsalud.gov.co/Normatividad_Nuevo/Resoluci%C3%B3n%20No%202718%20de%202024.pdf" TargetMode="External"/><Relationship Id="rId59" Type="http://schemas.openxmlformats.org/officeDocument/2006/relationships/hyperlink" Target="https://docs.supersalud.gov.co/PortalWeb/metodologias/OtrosDocumentosMetodologias/Gu%C3%ADa%20de%20Auditor%C3%ADa%20Institucional%20GAUDI.pdf" TargetMode="External"/><Relationship Id="rId20" Type="http://schemas.openxmlformats.org/officeDocument/2006/relationships/hyperlink" Target="https://app.powerbi.com/viewr=eyJrIjoiYTMwY2Y4ZjEtNWI0MC00YjAxLThjOGUtMjdiYWZhZjVlZjgzIiwidCI6IjE3YzQwYzUxLWIxZGYtNGUyNS04Y2Q2LTlkMGQyNjc4ODMwMCIsImMiOjR9" TargetMode="External"/><Relationship Id="rId41" Type="http://schemas.openxmlformats.org/officeDocument/2006/relationships/hyperlink" Target="https://www.ins.gov.co/buscador-eventos/Lineamientos/Pro_mortalidad%20materna%202024.pdf" TargetMode="External"/><Relationship Id="rId54" Type="http://schemas.openxmlformats.org/officeDocument/2006/relationships/hyperlink" Target="https://www.funcionpublica.gov.co/eva/gestornormativo/norma.php?i=272476"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hyperlink" Target="https://mapas.supersalud.gov.co/arcgisportal/apps/sites/#/datos-abiertos/search?groupIds=9a4d8d6e18a94ad4a633ef878e6c638d&amp;q=2025" TargetMode="External"/><Relationship Id="rId28" Type="http://schemas.openxmlformats.org/officeDocument/2006/relationships/chart" Target="charts/chart6.xml"/><Relationship Id="rId36" Type="http://schemas.openxmlformats.org/officeDocument/2006/relationships/hyperlink" Target="https://www.secretariasenado.gov.co/senado/basedoc/ley_1751_2015.html" TargetMode="External"/><Relationship Id="rId49" Type="http://schemas.openxmlformats.org/officeDocument/2006/relationships/hyperlink" Target="https://www.minsalud.gov.co/sites/rid/Lists/BibliotecaDigital/RIDE/INEC/INTOR/8.Lista_Mort%20OPS%20667.pdf" TargetMode="External"/><Relationship Id="rId57" Type="http://schemas.openxmlformats.org/officeDocument/2006/relationships/hyperlink" Target="https://docs.supersalud.gov.co/PortalWeb/metodologias/OtrosDocumentosMetodologias/ABC%20CE%20Reclamos%20en%20salud.pdf" TargetMode="External"/><Relationship Id="rId10" Type="http://schemas.openxmlformats.org/officeDocument/2006/relationships/endnotes" Target="endnotes.xml"/><Relationship Id="rId31" Type="http://schemas.openxmlformats.org/officeDocument/2006/relationships/hyperlink" Target="https://www.secretariasenado.gov.co/senado/basedoc/ley_0100_1993.html" TargetMode="External"/><Relationship Id="rId44" Type="http://schemas.openxmlformats.org/officeDocument/2006/relationships/hyperlink" Target="https://www.minsalud.gov.co/sites/rid/lists/bibliotecadigital/ride/de/dij/resolucion-3280-de-2018.pdf" TargetMode="External"/><Relationship Id="rId52" Type="http://schemas.openxmlformats.org/officeDocument/2006/relationships/hyperlink" Target="https://www.suin-juriscol.gov.co/viewDocument.asp?ruta=Decretos/30021559" TargetMode="External"/><Relationship Id="rId60" Type="http://schemas.openxmlformats.org/officeDocument/2006/relationships/hyperlink" Target="https://www.supersalud.gov.co/es-co/Paginas/Delegada%20Supervision%20de%20Riesgos/informacion-financiera-EPS-EMP-SAP-regimenes-de-excepcion-y-especiales.aspx"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saludcapital.gov.co/Salud_info/Proy_salud_materno.pdf" TargetMode="External"/><Relationship Id="rId1" Type="http://schemas.openxmlformats.org/officeDocument/2006/relationships/hyperlink" Target="https://docs.supersalud.gov.co/PortalWeb/metodologias/OtrosDocumentosMetodologias/Abec&#233;%20reporte%20PQRD.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JUNIO%202026\Informe%20capital%20salud\Graficas_editables_Capital_Salud_REVISION_EXHAUSTIVA_28062026.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JUNIO%202026\Informe%20capital%20salud\Tasa%20de%20reclamos%20en%20salud%20acumulados%20en%2012%20Capital%20Salud%20EPS%202020-2025%20&#8211;%20Bogot&#225;%20D.C.xlsx" TargetMode="External"/><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JUNIO%202026\Informe%20capital%20salud\Tabla_Grafica_Activos_Pasivos_Capital_Salud_2025.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JUNIO%202026\Informe%20capital%20salud\Endeudamiento_Capital_Salud_2025_Editable.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JUNIO%202026\Informe%20capital%20salud\Siniestralidad_Capital_Salud_2025_Editabl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209138630398473"/>
          <c:y val="5.241982854126237E-2"/>
          <c:w val="0.86896921975662134"/>
          <c:h val="0.71559449190664193"/>
        </c:manualLayout>
      </c:layout>
      <c:lineChart>
        <c:grouping val="standard"/>
        <c:varyColors val="1"/>
        <c:ser>
          <c:idx val="1"/>
          <c:order val="0"/>
          <c:tx>
            <c:strRef>
              <c:f>Afiliacion!$B$1</c:f>
              <c:strCache>
                <c:ptCount val="1"/>
                <c:pt idx="0">
                  <c:v>Contributivo</c:v>
                </c:pt>
              </c:strCache>
            </c:strRef>
          </c:tx>
          <c:spPr>
            <a:ln w="31750" cap="rnd">
              <a:solidFill>
                <a:schemeClr val="accent2"/>
              </a:solidFill>
              <a:round/>
              <a:tailEnd type="arrow"/>
            </a:ln>
            <a:effectLst/>
          </c:spPr>
          <c:marker>
            <c:symbol val="square"/>
            <c:size val="10"/>
            <c:spPr>
              <a:gradFill>
                <a:gsLst>
                  <a:gs pos="0">
                    <a:schemeClr val="accent2">
                      <a:lumMod val="102000"/>
                      <a:tint val="94000"/>
                    </a:schemeClr>
                  </a:gs>
                  <a:gs pos="50000">
                    <a:schemeClr val="accent2">
                      <a:lumMod val="100000"/>
                      <a:shade val="100000"/>
                    </a:schemeClr>
                  </a:gs>
                  <a:gs pos="100000">
                    <a:schemeClr val="accent2">
                      <a:lumMod val="99000"/>
                      <a:shade val="78000"/>
                    </a:schemeClr>
                  </a:gs>
                </a:gsLst>
                <a:lin ang="5400000" scaled="0"/>
                <a:tileRect/>
              </a:gradFill>
              <a:ln w="12700">
                <a:solidFill>
                  <a:schemeClr val="lt2"/>
                </a:solidFill>
                <a:round/>
              </a:ln>
              <a:effectLst/>
            </c:spPr>
          </c:marker>
          <c:dLbls>
            <c:dLbl>
              <c:idx val="4"/>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3-8C81-4DBF-BC50-FFC809B5203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Afiliacion!$B$2:$B$6</c:f>
              <c:numCache>
                <c:formatCode>General</c:formatCode>
                <c:ptCount val="5"/>
                <c:pt idx="0">
                  <c:v>63365</c:v>
                </c:pt>
                <c:pt idx="1">
                  <c:v>78589</c:v>
                </c:pt>
                <c:pt idx="2">
                  <c:v>59112</c:v>
                </c:pt>
                <c:pt idx="3">
                  <c:v>58140</c:v>
                </c:pt>
                <c:pt idx="4">
                  <c:v>61961</c:v>
                </c:pt>
              </c:numCache>
            </c:numRef>
          </c:val>
          <c:smooth val="0"/>
          <c:extLst>
            <c:ext xmlns:c16="http://schemas.microsoft.com/office/drawing/2014/chart" uri="{C3380CC4-5D6E-409C-BE32-E72D297353CC}">
              <c16:uniqueId val="{00000000-8C81-4DBF-BC50-FFC809B5203A}"/>
            </c:ext>
          </c:extLst>
        </c:ser>
        <c:ser>
          <c:idx val="2"/>
          <c:order val="1"/>
          <c:tx>
            <c:strRef>
              <c:f>Afiliacion!$C$1</c:f>
              <c:strCache>
                <c:ptCount val="1"/>
                <c:pt idx="0">
                  <c:v>Subsidiado</c:v>
                </c:pt>
              </c:strCache>
            </c:strRef>
          </c:tx>
          <c:spPr>
            <a:ln w="31750" cap="rnd">
              <a:solidFill>
                <a:schemeClr val="accent1"/>
              </a:solidFill>
              <a:round/>
              <a:tailEnd type="arrow"/>
            </a:ln>
            <a:effectLst/>
          </c:spPr>
          <c:marker>
            <c:symbol val="triangle"/>
            <c:size val="10"/>
            <c:spPr>
              <a:solidFill>
                <a:schemeClr val="accent1"/>
              </a:solidFill>
              <a:ln w="12700">
                <a:solidFill>
                  <a:schemeClr val="lt2"/>
                </a:solidFill>
                <a:round/>
                <a:tailEnd type="arrow"/>
              </a:ln>
              <a:effectLst/>
            </c:spPr>
          </c:marker>
          <c:dLbls>
            <c:dLbl>
              <c:idx val="4"/>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4-8C81-4DBF-BC50-FFC809B5203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Afiliacion!$C$2:$C$6</c:f>
              <c:numCache>
                <c:formatCode>General</c:formatCode>
                <c:ptCount val="5"/>
                <c:pt idx="0">
                  <c:v>895429</c:v>
                </c:pt>
                <c:pt idx="1">
                  <c:v>887151</c:v>
                </c:pt>
                <c:pt idx="2">
                  <c:v>879277</c:v>
                </c:pt>
                <c:pt idx="3">
                  <c:v>818621</c:v>
                </c:pt>
                <c:pt idx="4">
                  <c:v>838191</c:v>
                </c:pt>
              </c:numCache>
            </c:numRef>
          </c:val>
          <c:smooth val="0"/>
          <c:extLst>
            <c:ext xmlns:c16="http://schemas.microsoft.com/office/drawing/2014/chart" uri="{C3380CC4-5D6E-409C-BE32-E72D297353CC}">
              <c16:uniqueId val="{00000001-8C81-4DBF-BC50-FFC809B5203A}"/>
            </c:ext>
          </c:extLst>
        </c:ser>
        <c:dLbls>
          <c:dLblPos val="t"/>
          <c:showLegendKey val="0"/>
          <c:showVal val="1"/>
          <c:showCatName val="0"/>
          <c:showSerName val="0"/>
          <c:showPercent val="0"/>
          <c:showBubbleSize val="0"/>
        </c:dLbls>
        <c:marker val="1"/>
        <c:smooth val="0"/>
        <c:axId val="48650112"/>
        <c:axId val="48672768"/>
      </c:lineChart>
      <c:catAx>
        <c:axId val="48650112"/>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crossAx val="48672768"/>
        <c:crosses val="autoZero"/>
        <c:auto val="1"/>
        <c:lblAlgn val="ctr"/>
        <c:lblOffset val="100"/>
        <c:noMultiLvlLbl val="0"/>
      </c:catAx>
      <c:valAx>
        <c:axId val="48672768"/>
        <c:scaling>
          <c:orientation val="minMax"/>
        </c:scaling>
        <c:delete val="1"/>
        <c:axPos val="l"/>
        <c:numFmt formatCode="General" sourceLinked="1"/>
        <c:majorTickMark val="none"/>
        <c:minorTickMark val="none"/>
        <c:tickLblPos val="nextTo"/>
        <c:crossAx val="48650112"/>
        <c:crosses val="autoZero"/>
        <c:crossBetween val="between"/>
        <c:majorUnit val="20000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legend>
    <c:plotVisOnly val="1"/>
    <c:dispBlanksAs val="zero"/>
    <c:showDLblsOverMax val="1"/>
  </c:chart>
  <c:spPr>
    <a:solidFill>
      <a:schemeClr val="bg1"/>
    </a:solidFill>
    <a:ln w="9525" cap="flat" cmpd="sng" algn="ctr">
      <a:noFill/>
      <a:round/>
    </a:ln>
    <a:effectLst/>
  </c:spPr>
  <c:txPr>
    <a:bodyPr/>
    <a:lstStyle/>
    <a:p>
      <a:pPr>
        <a:defRPr>
          <a:solidFill>
            <a:schemeClr val="tx1"/>
          </a:solidFill>
          <a:latin typeface="Arial" panose="020B0604020202020204" pitchFamily="34" charset="0"/>
          <a:cs typeface="Arial" panose="020B0604020202020204" pitchFamily="34" charset="0"/>
        </a:defRPr>
      </a:pPr>
      <a:endParaRPr lang="es-CO"/>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'Tasa Reclamos 12 meses capital'!$B$1</c:f>
              <c:strCache>
                <c:ptCount val="1"/>
                <c:pt idx="0">
                  <c:v>Tasa Reclamos 12 Meses</c:v>
                </c:pt>
              </c:strCache>
            </c:strRef>
          </c:tx>
          <c:spPr>
            <a:ln w="28575" cap="rnd">
              <a:solidFill>
                <a:schemeClr val="accent2">
                  <a:lumMod val="50000"/>
                </a:schemeClr>
              </a:solidFill>
              <a:round/>
              <a:tailEnd type="arrow"/>
            </a:ln>
            <a:effectLst/>
          </c:spPr>
          <c:marker>
            <c:symbol val="circle"/>
            <c:size val="5"/>
            <c:spPr>
              <a:solidFill>
                <a:schemeClr val="bg1">
                  <a:lumMod val="85000"/>
                </a:schemeClr>
              </a:solidFill>
              <a:ln w="9525">
                <a:solidFill>
                  <a:schemeClr val="accent1"/>
                </a:solidFill>
              </a:ln>
              <a:effectLst/>
            </c:spPr>
          </c:marker>
          <c:dLbls>
            <c:dLbl>
              <c:idx val="5"/>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1-BB85-4E6D-B203-A035CD175873}"/>
                </c:ext>
              </c:extLst>
            </c:dLbl>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'Tasa Reclamos 12 meses capital'!$A$2:$A$7</c:f>
              <c:numCache>
                <c:formatCode>General</c:formatCode>
                <c:ptCount val="6"/>
                <c:pt idx="0">
                  <c:v>2020</c:v>
                </c:pt>
                <c:pt idx="1">
                  <c:v>2021</c:v>
                </c:pt>
                <c:pt idx="2">
                  <c:v>2022</c:v>
                </c:pt>
                <c:pt idx="3">
                  <c:v>2023</c:v>
                </c:pt>
                <c:pt idx="4">
                  <c:v>2024</c:v>
                </c:pt>
                <c:pt idx="5">
                  <c:v>2025</c:v>
                </c:pt>
              </c:numCache>
            </c:numRef>
          </c:cat>
          <c:val>
            <c:numRef>
              <c:f>'Tasa Reclamos 12 meses capital'!$B$2:$B$7</c:f>
              <c:numCache>
                <c:formatCode>General</c:formatCode>
                <c:ptCount val="6"/>
                <c:pt idx="0">
                  <c:v>302.31</c:v>
                </c:pt>
                <c:pt idx="1">
                  <c:v>360.22</c:v>
                </c:pt>
                <c:pt idx="2">
                  <c:v>397.34</c:v>
                </c:pt>
                <c:pt idx="3">
                  <c:v>425.48</c:v>
                </c:pt>
                <c:pt idx="4">
                  <c:v>501.53</c:v>
                </c:pt>
                <c:pt idx="5">
                  <c:v>660.23</c:v>
                </c:pt>
              </c:numCache>
            </c:numRef>
          </c:val>
          <c:smooth val="0"/>
          <c:extLst>
            <c:ext xmlns:c16="http://schemas.microsoft.com/office/drawing/2014/chart" uri="{C3380CC4-5D6E-409C-BE32-E72D297353CC}">
              <c16:uniqueId val="{00000000-BB85-4E6D-B203-A035CD175873}"/>
            </c:ext>
          </c:extLst>
        </c:ser>
        <c:dLbls>
          <c:showLegendKey val="0"/>
          <c:showVal val="0"/>
          <c:showCatName val="0"/>
          <c:showSerName val="0"/>
          <c:showPercent val="0"/>
          <c:showBubbleSize val="0"/>
        </c:dLbls>
        <c:marker val="1"/>
        <c:smooth val="0"/>
        <c:axId val="2007719056"/>
        <c:axId val="2007720688"/>
      </c:lineChart>
      <c:catAx>
        <c:axId val="2007719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crossAx val="2007720688"/>
        <c:crosses val="autoZero"/>
        <c:auto val="1"/>
        <c:lblAlgn val="ctr"/>
        <c:lblOffset val="100"/>
        <c:noMultiLvlLbl val="0"/>
      </c:catAx>
      <c:valAx>
        <c:axId val="2007720688"/>
        <c:scaling>
          <c:orientation val="minMax"/>
        </c:scaling>
        <c:delete val="1"/>
        <c:axPos val="l"/>
        <c:numFmt formatCode="General" sourceLinked="1"/>
        <c:majorTickMark val="none"/>
        <c:minorTickMark val="none"/>
        <c:tickLblPos val="nextTo"/>
        <c:crossAx val="200771905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100">
          <a:solidFill>
            <a:schemeClr val="tx1"/>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s-ES"/>
  <c:roundedCorners val="0"/>
  <c:style val="2"/>
  <c:chart>
    <c:autoTitleDeleted val="1"/>
    <c:plotArea>
      <c:layout/>
      <c:barChart>
        <c:barDir val="col"/>
        <c:grouping val="clustered"/>
        <c:varyColors val="0"/>
        <c:ser>
          <c:idx val="0"/>
          <c:order val="0"/>
          <c:tx>
            <c:strRef>
              <c:f>label 0</c:f>
              <c:strCache>
                <c:ptCount val="1"/>
                <c:pt idx="0">
                  <c:v>Población asegurada</c:v>
                </c:pt>
              </c:strCache>
            </c:strRef>
          </c:tx>
          <c:spPr>
            <a:solidFill>
              <a:schemeClr val="accent5"/>
            </a:solidFill>
            <a:ln w="19050" cap="flat" cmpd="sng" algn="ctr">
              <a:prstDash val="solid"/>
              <a:miter lim="800000"/>
            </a:ln>
            <a:effectLst/>
          </c:spPr>
          <c:invertIfNegative val="0"/>
          <c:dLbls>
            <c:spPr>
              <a:noFill/>
              <a:ln>
                <a:noFill/>
              </a:ln>
              <a:effectLst/>
            </c:spPr>
            <c:txPr>
              <a:bodyPr wrap="square" lIns="38100" tIns="19050" rIns="38100" bIns="19050" anchor="ctr">
                <a:spAutoFit/>
              </a:bodyPr>
              <a:lstStyle/>
              <a:p>
                <a:pPr>
                  <a:defRPr sz="700"/>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categories</c:f>
              <c:strCache>
                <c:ptCount val="20"/>
                <c:pt idx="0">
                  <c:v>Ciudad Bolívar</c:v>
                </c:pt>
                <c:pt idx="1">
                  <c:v>Bosa</c:v>
                </c:pt>
                <c:pt idx="2">
                  <c:v>Kennedy</c:v>
                </c:pt>
                <c:pt idx="3">
                  <c:v>Usme</c:v>
                </c:pt>
                <c:pt idx="4">
                  <c:v>Suba</c:v>
                </c:pt>
                <c:pt idx="5">
                  <c:v>San Cristóbal</c:v>
                </c:pt>
                <c:pt idx="6">
                  <c:v>Rafael Uribe</c:v>
                </c:pt>
                <c:pt idx="7">
                  <c:v>Engativá</c:v>
                </c:pt>
                <c:pt idx="8">
                  <c:v>Santa Fe</c:v>
                </c:pt>
                <c:pt idx="9">
                  <c:v>Tunjuelito</c:v>
                </c:pt>
                <c:pt idx="10">
                  <c:v>Usaquén</c:v>
                </c:pt>
                <c:pt idx="11">
                  <c:v>Fontibón</c:v>
                </c:pt>
                <c:pt idx="12">
                  <c:v>Puente Aranda</c:v>
                </c:pt>
                <c:pt idx="13">
                  <c:v>Mártires</c:v>
                </c:pt>
                <c:pt idx="14">
                  <c:v>Barrios Unidos</c:v>
                </c:pt>
                <c:pt idx="15">
                  <c:v>Antonio Nariño</c:v>
                </c:pt>
                <c:pt idx="16">
                  <c:v>Chapinero</c:v>
                </c:pt>
                <c:pt idx="17">
                  <c:v>Teusaquillo</c:v>
                </c:pt>
                <c:pt idx="18">
                  <c:v>Candelaria</c:v>
                </c:pt>
                <c:pt idx="19">
                  <c:v>Sumapaz</c:v>
                </c:pt>
              </c:strCache>
            </c:strRef>
          </c:cat>
          <c:val>
            <c:numRef>
              <c:f>0</c:f>
              <c:numCache>
                <c:formatCode>General</c:formatCode>
                <c:ptCount val="20"/>
                <c:pt idx="0">
                  <c:v>123078</c:v>
                </c:pt>
                <c:pt idx="1">
                  <c:v>120604</c:v>
                </c:pt>
                <c:pt idx="2">
                  <c:v>114588</c:v>
                </c:pt>
                <c:pt idx="3">
                  <c:v>74636</c:v>
                </c:pt>
                <c:pt idx="4">
                  <c:v>70416</c:v>
                </c:pt>
                <c:pt idx="5">
                  <c:v>69259</c:v>
                </c:pt>
                <c:pt idx="6">
                  <c:v>62702</c:v>
                </c:pt>
                <c:pt idx="7">
                  <c:v>62489</c:v>
                </c:pt>
                <c:pt idx="8">
                  <c:v>32461</c:v>
                </c:pt>
                <c:pt idx="9">
                  <c:v>28718</c:v>
                </c:pt>
                <c:pt idx="10">
                  <c:v>28413</c:v>
                </c:pt>
                <c:pt idx="11">
                  <c:v>22897</c:v>
                </c:pt>
                <c:pt idx="12">
                  <c:v>20505</c:v>
                </c:pt>
                <c:pt idx="13">
                  <c:v>19635</c:v>
                </c:pt>
                <c:pt idx="14">
                  <c:v>13055</c:v>
                </c:pt>
                <c:pt idx="15">
                  <c:v>10958</c:v>
                </c:pt>
                <c:pt idx="16">
                  <c:v>9785</c:v>
                </c:pt>
                <c:pt idx="17">
                  <c:v>6952</c:v>
                </c:pt>
                <c:pt idx="18">
                  <c:v>5567</c:v>
                </c:pt>
                <c:pt idx="19">
                  <c:v>1391</c:v>
                </c:pt>
              </c:numCache>
            </c:numRef>
          </c:val>
          <c:extLst>
            <c:ext xmlns:c16="http://schemas.microsoft.com/office/drawing/2014/chart" uri="{C3380CC4-5D6E-409C-BE32-E72D297353CC}">
              <c16:uniqueId val="{00000000-D48C-466D-B701-C5A427AAC1E5}"/>
            </c:ext>
          </c:extLst>
        </c:ser>
        <c:dLbls>
          <c:showLegendKey val="0"/>
          <c:showVal val="1"/>
          <c:showCatName val="0"/>
          <c:showSerName val="0"/>
          <c:showPercent val="0"/>
          <c:showBubbleSize val="0"/>
        </c:dLbls>
        <c:gapWidth val="219"/>
        <c:overlap val="-27"/>
        <c:axId val="15938734"/>
        <c:axId val="77040397"/>
      </c:barChart>
      <c:lineChart>
        <c:grouping val="standard"/>
        <c:varyColors val="0"/>
        <c:ser>
          <c:idx val="1"/>
          <c:order val="1"/>
          <c:tx>
            <c:strRef>
              <c:f>label 1</c:f>
              <c:strCache>
                <c:ptCount val="1"/>
                <c:pt idx="0">
                  <c:v>Puntos de dispensación</c:v>
                </c:pt>
              </c:strCache>
            </c:strRef>
          </c:tx>
          <c:spPr>
            <a:ln w="28440" cap="rnd">
              <a:solidFill>
                <a:srgbClr val="C00000"/>
              </a:solidFill>
              <a:round/>
            </a:ln>
          </c:spPr>
          <c:marker>
            <c:symbol val="none"/>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28440">
                      <a:solidFill>
                        <a:srgbClr val="000000"/>
                      </a:solidFill>
                    </a:ln>
                  </c:spPr>
                </c15:leaderLines>
              </c:ext>
            </c:extLst>
          </c:dLbls>
          <c:cat>
            <c:strRef>
              <c:f>categories</c:f>
              <c:strCache>
                <c:ptCount val="20"/>
                <c:pt idx="0">
                  <c:v>Ciudad Bolívar</c:v>
                </c:pt>
                <c:pt idx="1">
                  <c:v>Bosa</c:v>
                </c:pt>
                <c:pt idx="2">
                  <c:v>Kennedy</c:v>
                </c:pt>
                <c:pt idx="3">
                  <c:v>Usme</c:v>
                </c:pt>
                <c:pt idx="4">
                  <c:v>Suba</c:v>
                </c:pt>
                <c:pt idx="5">
                  <c:v>San Cristóbal</c:v>
                </c:pt>
                <c:pt idx="6">
                  <c:v>Rafael Uribe</c:v>
                </c:pt>
                <c:pt idx="7">
                  <c:v>Engativá</c:v>
                </c:pt>
                <c:pt idx="8">
                  <c:v>Santa Fe</c:v>
                </c:pt>
                <c:pt idx="9">
                  <c:v>Tunjuelito</c:v>
                </c:pt>
                <c:pt idx="10">
                  <c:v>Usaquén</c:v>
                </c:pt>
                <c:pt idx="11">
                  <c:v>Fontibón</c:v>
                </c:pt>
                <c:pt idx="12">
                  <c:v>Puente Aranda</c:v>
                </c:pt>
                <c:pt idx="13">
                  <c:v>Mártires</c:v>
                </c:pt>
                <c:pt idx="14">
                  <c:v>Barrios Unidos</c:v>
                </c:pt>
                <c:pt idx="15">
                  <c:v>Antonio Nariño</c:v>
                </c:pt>
                <c:pt idx="16">
                  <c:v>Chapinero</c:v>
                </c:pt>
                <c:pt idx="17">
                  <c:v>Teusaquillo</c:v>
                </c:pt>
                <c:pt idx="18">
                  <c:v>Candelaria</c:v>
                </c:pt>
                <c:pt idx="19">
                  <c:v>Sumapaz</c:v>
                </c:pt>
              </c:strCache>
            </c:strRef>
          </c:cat>
          <c:val>
            <c:numRef>
              <c:f>1</c:f>
              <c:numCache>
                <c:formatCode>General</c:formatCode>
                <c:ptCount val="20"/>
                <c:pt idx="0">
                  <c:v>1</c:v>
                </c:pt>
                <c:pt idx="1">
                  <c:v>2</c:v>
                </c:pt>
                <c:pt idx="2">
                  <c:v>1</c:v>
                </c:pt>
                <c:pt idx="3">
                  <c:v>1</c:v>
                </c:pt>
                <c:pt idx="4">
                  <c:v>1</c:v>
                </c:pt>
                <c:pt idx="5">
                  <c:v>1</c:v>
                </c:pt>
                <c:pt idx="6">
                  <c:v>0</c:v>
                </c:pt>
                <c:pt idx="7">
                  <c:v>1</c:v>
                </c:pt>
                <c:pt idx="8">
                  <c:v>0</c:v>
                </c:pt>
                <c:pt idx="9">
                  <c:v>1</c:v>
                </c:pt>
                <c:pt idx="10">
                  <c:v>0</c:v>
                </c:pt>
                <c:pt idx="11">
                  <c:v>1</c:v>
                </c:pt>
                <c:pt idx="12">
                  <c:v>0</c:v>
                </c:pt>
                <c:pt idx="13">
                  <c:v>0</c:v>
                </c:pt>
                <c:pt idx="14">
                  <c:v>2</c:v>
                </c:pt>
                <c:pt idx="15">
                  <c:v>1</c:v>
                </c:pt>
                <c:pt idx="16">
                  <c:v>1</c:v>
                </c:pt>
                <c:pt idx="17">
                  <c:v>0</c:v>
                </c:pt>
                <c:pt idx="18">
                  <c:v>0</c:v>
                </c:pt>
                <c:pt idx="19">
                  <c:v>0</c:v>
                </c:pt>
              </c:numCache>
            </c:numRef>
          </c:val>
          <c:smooth val="0"/>
          <c:extLst>
            <c:ext xmlns:c16="http://schemas.microsoft.com/office/drawing/2014/chart" uri="{C3380CC4-5D6E-409C-BE32-E72D297353CC}">
              <c16:uniqueId val="{00000001-D48C-466D-B701-C5A427AAC1E5}"/>
            </c:ext>
          </c:extLst>
        </c:ser>
        <c:dLbls>
          <c:showLegendKey val="0"/>
          <c:showVal val="1"/>
          <c:showCatName val="0"/>
          <c:showSerName val="0"/>
          <c:showPercent val="0"/>
          <c:showBubbleSize val="0"/>
        </c:dLbls>
        <c:hiLowLines>
          <c:spPr>
            <a:ln w="0">
              <a:noFill/>
            </a:ln>
          </c:spPr>
        </c:hiLowLines>
        <c:marker val="1"/>
        <c:smooth val="0"/>
        <c:axId val="41438954"/>
        <c:axId val="51981013"/>
      </c:lineChart>
      <c:catAx>
        <c:axId val="15938734"/>
        <c:scaling>
          <c:orientation val="minMax"/>
        </c:scaling>
        <c:delete val="0"/>
        <c:axPos val="b"/>
        <c:numFmt formatCode="General" sourceLinked="0"/>
        <c:majorTickMark val="none"/>
        <c:minorTickMark val="none"/>
        <c:tickLblPos val="nextTo"/>
        <c:spPr>
          <a:ln w="9360">
            <a:solidFill>
              <a:srgbClr val="D9D9D9"/>
            </a:solidFill>
            <a:round/>
          </a:ln>
        </c:spPr>
        <c:txPr>
          <a:bodyPr/>
          <a:lstStyle/>
          <a:p>
            <a:pPr>
              <a:defRPr sz="900"/>
            </a:pPr>
            <a:endParaRPr lang="es-CO"/>
          </a:p>
        </c:txPr>
        <c:crossAx val="77040397"/>
        <c:crosses val="autoZero"/>
        <c:auto val="1"/>
        <c:lblAlgn val="ctr"/>
        <c:lblOffset val="100"/>
        <c:noMultiLvlLbl val="0"/>
      </c:catAx>
      <c:valAx>
        <c:axId val="77040397"/>
        <c:scaling>
          <c:orientation val="minMax"/>
        </c:scaling>
        <c:delete val="0"/>
        <c:axPos val="r"/>
        <c:numFmt formatCode="General" sourceLinked="0"/>
        <c:majorTickMark val="none"/>
        <c:minorTickMark val="none"/>
        <c:tickLblPos val="nextTo"/>
        <c:spPr>
          <a:ln w="6480">
            <a:noFill/>
          </a:ln>
        </c:spPr>
        <c:txPr>
          <a:bodyPr/>
          <a:lstStyle/>
          <a:p>
            <a:pPr>
              <a:defRPr sz="800" b="1"/>
            </a:pPr>
            <a:endParaRPr lang="es-CO"/>
          </a:p>
        </c:txPr>
        <c:crossAx val="15938734"/>
        <c:crosses val="max"/>
        <c:crossBetween val="between"/>
      </c:valAx>
      <c:catAx>
        <c:axId val="41438954"/>
        <c:scaling>
          <c:orientation val="minMax"/>
        </c:scaling>
        <c:delete val="1"/>
        <c:axPos val="b"/>
        <c:numFmt formatCode="General" sourceLinked="1"/>
        <c:majorTickMark val="none"/>
        <c:minorTickMark val="none"/>
        <c:tickLblPos val="nextTo"/>
        <c:crossAx val="51981013"/>
        <c:crosses val="autoZero"/>
        <c:auto val="1"/>
        <c:lblAlgn val="ctr"/>
        <c:lblOffset val="100"/>
        <c:noMultiLvlLbl val="0"/>
      </c:catAx>
      <c:valAx>
        <c:axId val="51981013"/>
        <c:scaling>
          <c:orientation val="minMax"/>
        </c:scaling>
        <c:delete val="0"/>
        <c:axPos val="l"/>
        <c:numFmt formatCode="General" sourceLinked="0"/>
        <c:majorTickMark val="none"/>
        <c:minorTickMark val="none"/>
        <c:tickLblPos val="nextTo"/>
        <c:spPr>
          <a:ln w="6480">
            <a:noFill/>
          </a:ln>
        </c:spPr>
        <c:txPr>
          <a:bodyPr/>
          <a:lstStyle/>
          <a:p>
            <a:pPr>
              <a:defRPr sz="800" b="1"/>
            </a:pPr>
            <a:endParaRPr lang="es-CO"/>
          </a:p>
        </c:txPr>
        <c:crossAx val="41438954"/>
        <c:crosses val="autoZero"/>
        <c:crossBetween val="between"/>
      </c:valAx>
      <c:spPr>
        <a:noFill/>
        <a:ln w="0">
          <a:noFill/>
        </a:ln>
      </c:spPr>
    </c:plotArea>
    <c:legend>
      <c:legendPos val="b"/>
      <c:overlay val="0"/>
      <c:spPr>
        <a:noFill/>
        <a:ln w="0">
          <a:noFill/>
        </a:ln>
      </c:spPr>
    </c:legend>
    <c:plotVisOnly val="1"/>
    <c:dispBlanksAs val="gap"/>
    <c:showDLblsOverMax val="1"/>
  </c:chart>
  <c:spPr>
    <a:solidFill>
      <a:srgbClr val="FFFFFF"/>
    </a:solidFill>
    <a:ln w="9360">
      <a:noFill/>
      <a:round/>
    </a:ln>
  </c:spPr>
  <c:txPr>
    <a:bodyPr/>
    <a:lstStyle/>
    <a:p>
      <a:pPr>
        <a:defRPr>
          <a:latin typeface="Arial" panose="020B0604020202020204" pitchFamily="34" charset="0"/>
          <a:cs typeface="Arial" panose="020B0604020202020204" pitchFamily="34" charset="0"/>
        </a:defRPr>
      </a:pPr>
      <a:endParaRPr lang="es-CO"/>
    </a:p>
  </c:txPr>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lineChart>
        <c:grouping val="standard"/>
        <c:varyColors val="1"/>
        <c:ser>
          <c:idx val="0"/>
          <c:order val="0"/>
          <c:tx>
            <c:v>Total Activos</c:v>
          </c:tx>
          <c:spPr>
            <a:ln w="38100" cap="rnd" cmpd="sng" algn="ctr">
              <a:solidFill>
                <a:schemeClr val="accent6">
                  <a:lumMod val="50000"/>
                </a:schemeClr>
              </a:solidFill>
              <a:prstDash val="solid"/>
              <a:round/>
            </a:ln>
            <a:effectLst/>
          </c:spPr>
          <c:marker>
            <c:spPr>
              <a:solidFill>
                <a:schemeClr val="accent6">
                  <a:lumMod val="50000"/>
                </a:schemeClr>
              </a:solidFill>
              <a:ln w="12700" cap="flat" cmpd="sng" algn="ctr">
                <a:solidFill>
                  <a:schemeClr val="accent3">
                    <a:shade val="76000"/>
                  </a:schemeClr>
                </a:solidFill>
                <a:prstDash val="solid"/>
                <a:round/>
              </a:ln>
              <a:effectLst/>
            </c:spPr>
          </c:marker>
          <c:dLbls>
            <c:dLbl>
              <c:idx val="11"/>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2-72C7-46A0-BFB4-29FFD48307E4}"/>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12700" cap="flat" cmpd="sng" algn="ctr">
                      <a:solidFill>
                        <a:schemeClr val="tx1"/>
                      </a:solidFill>
                      <a:prstDash val="solid"/>
                      <a:round/>
                    </a:ln>
                    <a:effectLst/>
                  </c:spPr>
                </c15:leaderLines>
              </c:ext>
            </c:extLst>
          </c:dLbls>
          <c:cat>
            <c:strRef>
              <c:f>Datos_Grafica!$A$5:$A$16</c:f>
              <c:strCache>
                <c:ptCount val="12"/>
                <c:pt idx="0">
                  <c:v>Enero</c:v>
                </c:pt>
                <c:pt idx="1">
                  <c:v>Febrero</c:v>
                </c:pt>
                <c:pt idx="2">
                  <c:v>Marzo</c:v>
                </c:pt>
                <c:pt idx="3">
                  <c:v>Abril</c:v>
                </c:pt>
                <c:pt idx="4">
                  <c:v>Mayo</c:v>
                </c:pt>
                <c:pt idx="5">
                  <c:v>Junio</c:v>
                </c:pt>
                <c:pt idx="6">
                  <c:v>Julio</c:v>
                </c:pt>
                <c:pt idx="7">
                  <c:v>Agosto</c:v>
                </c:pt>
                <c:pt idx="8">
                  <c:v>Septiembre</c:v>
                </c:pt>
                <c:pt idx="9">
                  <c:v>Octubre</c:v>
                </c:pt>
                <c:pt idx="10">
                  <c:v>Noviembre</c:v>
                </c:pt>
                <c:pt idx="11">
                  <c:v>Diciembre</c:v>
                </c:pt>
              </c:strCache>
            </c:strRef>
          </c:cat>
          <c:val>
            <c:numRef>
              <c:f>Datos_Grafica!$B$5:$B$16</c:f>
              <c:numCache>
                <c:formatCode>\$#,##0</c:formatCode>
                <c:ptCount val="12"/>
                <c:pt idx="0">
                  <c:v>471497</c:v>
                </c:pt>
                <c:pt idx="1">
                  <c:v>487810</c:v>
                </c:pt>
                <c:pt idx="2">
                  <c:v>483847</c:v>
                </c:pt>
                <c:pt idx="3">
                  <c:v>481281</c:v>
                </c:pt>
                <c:pt idx="4">
                  <c:v>473637</c:v>
                </c:pt>
                <c:pt idx="5">
                  <c:v>483833</c:v>
                </c:pt>
                <c:pt idx="6">
                  <c:v>495983</c:v>
                </c:pt>
                <c:pt idx="7">
                  <c:v>498461</c:v>
                </c:pt>
                <c:pt idx="8">
                  <c:v>537292</c:v>
                </c:pt>
                <c:pt idx="9">
                  <c:v>517215</c:v>
                </c:pt>
                <c:pt idx="10">
                  <c:v>479161</c:v>
                </c:pt>
                <c:pt idx="11">
                  <c:v>485120</c:v>
                </c:pt>
              </c:numCache>
            </c:numRef>
          </c:val>
          <c:smooth val="0"/>
          <c:extLst>
            <c:ext xmlns:c16="http://schemas.microsoft.com/office/drawing/2014/chart" uri="{C3380CC4-5D6E-409C-BE32-E72D297353CC}">
              <c16:uniqueId val="{00000000-72C7-46A0-BFB4-29FFD48307E4}"/>
            </c:ext>
          </c:extLst>
        </c:ser>
        <c:ser>
          <c:idx val="1"/>
          <c:order val="1"/>
          <c:tx>
            <c:v>Total Pasivos</c:v>
          </c:tx>
          <c:spPr>
            <a:ln w="38100" cap="rnd" cmpd="sng" algn="ctr">
              <a:solidFill>
                <a:srgbClr val="C00000"/>
              </a:solidFill>
              <a:prstDash val="solid"/>
              <a:round/>
            </a:ln>
            <a:effectLst/>
          </c:spPr>
          <c:marker>
            <c:spPr>
              <a:solidFill>
                <a:srgbClr val="C00000"/>
              </a:solidFill>
              <a:ln w="12700" cap="flat" cmpd="sng" algn="ctr">
                <a:solidFill>
                  <a:schemeClr val="accent3">
                    <a:tint val="77000"/>
                  </a:schemeClr>
                </a:solidFill>
                <a:prstDash val="solid"/>
                <a:round/>
              </a:ln>
              <a:effectLst/>
            </c:spPr>
          </c:marker>
          <c:dLbls>
            <c:dLbl>
              <c:idx val="11"/>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b"/>
              <c:showLegendKey val="0"/>
              <c:showVal val="1"/>
              <c:showCatName val="0"/>
              <c:showSerName val="0"/>
              <c:showPercent val="0"/>
              <c:showBubbleSize val="0"/>
              <c:extLst>
                <c:ext xmlns:c16="http://schemas.microsoft.com/office/drawing/2014/chart" uri="{C3380CC4-5D6E-409C-BE32-E72D297353CC}">
                  <c16:uniqueId val="{00000003-72C7-46A0-BFB4-29FFD48307E4}"/>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12700" cap="flat" cmpd="sng" algn="ctr">
                      <a:solidFill>
                        <a:schemeClr val="tx1"/>
                      </a:solidFill>
                      <a:prstDash val="solid"/>
                      <a:round/>
                    </a:ln>
                    <a:effectLst/>
                  </c:spPr>
                </c15:leaderLines>
              </c:ext>
            </c:extLst>
          </c:dLbls>
          <c:cat>
            <c:strRef>
              <c:f>Datos_Grafica!$A$5:$A$16</c:f>
              <c:strCache>
                <c:ptCount val="12"/>
                <c:pt idx="0">
                  <c:v>Enero</c:v>
                </c:pt>
                <c:pt idx="1">
                  <c:v>Febrero</c:v>
                </c:pt>
                <c:pt idx="2">
                  <c:v>Marzo</c:v>
                </c:pt>
                <c:pt idx="3">
                  <c:v>Abril</c:v>
                </c:pt>
                <c:pt idx="4">
                  <c:v>Mayo</c:v>
                </c:pt>
                <c:pt idx="5">
                  <c:v>Junio</c:v>
                </c:pt>
                <c:pt idx="6">
                  <c:v>Julio</c:v>
                </c:pt>
                <c:pt idx="7">
                  <c:v>Agosto</c:v>
                </c:pt>
                <c:pt idx="8">
                  <c:v>Septiembre</c:v>
                </c:pt>
                <c:pt idx="9">
                  <c:v>Octubre</c:v>
                </c:pt>
                <c:pt idx="10">
                  <c:v>Noviembre</c:v>
                </c:pt>
                <c:pt idx="11">
                  <c:v>Diciembre</c:v>
                </c:pt>
              </c:strCache>
            </c:strRef>
          </c:cat>
          <c:val>
            <c:numRef>
              <c:f>Datos_Grafica!$C$5:$C$16</c:f>
              <c:numCache>
                <c:formatCode>\$#,##0</c:formatCode>
                <c:ptCount val="12"/>
                <c:pt idx="0">
                  <c:v>404258</c:v>
                </c:pt>
                <c:pt idx="1">
                  <c:v>443420</c:v>
                </c:pt>
                <c:pt idx="2">
                  <c:v>449729</c:v>
                </c:pt>
                <c:pt idx="3">
                  <c:v>452326</c:v>
                </c:pt>
                <c:pt idx="4">
                  <c:v>470643</c:v>
                </c:pt>
                <c:pt idx="5">
                  <c:v>460233</c:v>
                </c:pt>
                <c:pt idx="6">
                  <c:v>490208</c:v>
                </c:pt>
                <c:pt idx="7">
                  <c:v>498257</c:v>
                </c:pt>
                <c:pt idx="8">
                  <c:v>515556</c:v>
                </c:pt>
                <c:pt idx="9">
                  <c:v>514052</c:v>
                </c:pt>
                <c:pt idx="10">
                  <c:v>452442</c:v>
                </c:pt>
                <c:pt idx="11">
                  <c:v>466797</c:v>
                </c:pt>
              </c:numCache>
            </c:numRef>
          </c:val>
          <c:smooth val="0"/>
          <c:extLst>
            <c:ext xmlns:c16="http://schemas.microsoft.com/office/drawing/2014/chart" uri="{C3380CC4-5D6E-409C-BE32-E72D297353CC}">
              <c16:uniqueId val="{00000001-72C7-46A0-BFB4-29FFD48307E4}"/>
            </c:ext>
          </c:extLst>
        </c:ser>
        <c:dLbls>
          <c:dLblPos val="t"/>
          <c:showLegendKey val="0"/>
          <c:showVal val="1"/>
          <c:showCatName val="0"/>
          <c:showSerName val="0"/>
          <c:showPercent val="0"/>
          <c:showBubbleSize val="0"/>
        </c:dLbls>
        <c:marker val="1"/>
        <c:smooth val="0"/>
        <c:axId val="48650112"/>
        <c:axId val="48672768"/>
      </c:lineChart>
      <c:catAx>
        <c:axId val="48650112"/>
        <c:scaling>
          <c:orientation val="minMax"/>
        </c:scaling>
        <c:delete val="0"/>
        <c:axPos val="b"/>
        <c:numFmt formatCode="General" sourceLinked="1"/>
        <c:majorTickMark val="none"/>
        <c:minorTickMark val="none"/>
        <c:tickLblPos val="nextTo"/>
        <c:spPr>
          <a:noFill/>
          <a:ln w="12700" cap="flat" cmpd="sng" algn="ctr">
            <a:solidFill>
              <a:schemeClr val="tx1"/>
            </a:solidFill>
            <a:prstDash val="solid"/>
            <a:round/>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crossAx val="48672768"/>
        <c:crosses val="autoZero"/>
        <c:auto val="1"/>
        <c:lblAlgn val="ctr"/>
        <c:lblOffset val="100"/>
        <c:noMultiLvlLbl val="0"/>
      </c:catAx>
      <c:valAx>
        <c:axId val="48672768"/>
        <c:scaling>
          <c:orientation val="minMax"/>
          <c:min val="350000"/>
        </c:scaling>
        <c:delete val="1"/>
        <c:axPos val="l"/>
        <c:numFmt formatCode="\$#,##0" sourceLinked="1"/>
        <c:majorTickMark val="none"/>
        <c:minorTickMark val="none"/>
        <c:tickLblPos val="nextTo"/>
        <c:crossAx val="48650112"/>
        <c:crosses val="autoZero"/>
        <c:crossBetween val="between"/>
      </c:valAx>
      <c:spPr>
        <a:solidFill>
          <a:schemeClr val="bg1"/>
        </a:solid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Arial" panose="020B0604020202020204" pitchFamily="34" charset="0"/>
              <a:ea typeface="+mn-ea"/>
              <a:cs typeface="Arial" panose="020B0604020202020204" pitchFamily="34" charset="0"/>
            </a:defRPr>
          </a:pPr>
          <a:endParaRPr lang="es-CO"/>
        </a:p>
      </c:txPr>
    </c:legend>
    <c:plotVisOnly val="1"/>
    <c:dispBlanksAs val="zero"/>
    <c:showDLblsOverMax val="1"/>
  </c:chart>
  <c:spPr>
    <a:solidFill>
      <a:schemeClr val="bg1"/>
    </a:solidFill>
    <a:ln w="9525" cap="flat" cmpd="sng" algn="ctr">
      <a:noFill/>
      <a:prstDash val="solid"/>
      <a:round/>
    </a:ln>
    <a:effectLst/>
  </c:spPr>
  <c:txPr>
    <a:bodyPr/>
    <a:lstStyle/>
    <a:p>
      <a:pPr>
        <a:defRPr>
          <a:latin typeface="Arial" panose="020B0604020202020204" pitchFamily="34" charset="0"/>
          <a:cs typeface="Arial" panose="020B0604020202020204" pitchFamily="34" charset="0"/>
        </a:defRPr>
      </a:pPr>
      <a:endParaRPr lang="es-CO"/>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label 0</c:f>
              <c:strCache>
                <c:ptCount val="1"/>
                <c:pt idx="0">
                  <c:v>Total Pasivos</c:v>
                </c:pt>
              </c:strCache>
            </c:strRef>
          </c:tx>
          <c:spPr>
            <a:solidFill>
              <a:schemeClr val="accent5"/>
            </a:solidFill>
            <a:ln w="19050" cap="flat" cmpd="sng" algn="ctr">
              <a:prstDash val="solid"/>
              <a:miter lim="800000"/>
            </a:ln>
            <a:effectLst/>
          </c:spPr>
          <c:invertIfNegative val="0"/>
          <c:dLbls>
            <c:numFmt formatCode="#,##0" sourceLinked="0"/>
            <c:spPr>
              <a:solidFill>
                <a:srgbClr val="FFFFFF"/>
              </a:solidFill>
            </c:sp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12"/>
                <c:pt idx="0">
                  <c:v>Enero </c:v>
                </c:pt>
                <c:pt idx="1">
                  <c:v>Febrero </c:v>
                </c:pt>
                <c:pt idx="2">
                  <c:v>Marzo</c:v>
                </c:pt>
                <c:pt idx="3">
                  <c:v>Abril</c:v>
                </c:pt>
                <c:pt idx="4">
                  <c:v>Mayo</c:v>
                </c:pt>
                <c:pt idx="5">
                  <c:v>Junio</c:v>
                </c:pt>
                <c:pt idx="6">
                  <c:v>Julio</c:v>
                </c:pt>
                <c:pt idx="7">
                  <c:v>Agosto</c:v>
                </c:pt>
                <c:pt idx="8">
                  <c:v>Septiembre</c:v>
                </c:pt>
                <c:pt idx="9">
                  <c:v>Octubre</c:v>
                </c:pt>
                <c:pt idx="10">
                  <c:v>Noviembre</c:v>
                </c:pt>
                <c:pt idx="11">
                  <c:v>Diciembre</c:v>
                </c:pt>
              </c:strCache>
            </c:strRef>
          </c:cat>
          <c:val>
            <c:numRef>
              <c:f>0</c:f>
              <c:numCache>
                <c:formatCode>General</c:formatCode>
                <c:ptCount val="12"/>
                <c:pt idx="0">
                  <c:v>404258</c:v>
                </c:pt>
                <c:pt idx="1">
                  <c:v>443420</c:v>
                </c:pt>
                <c:pt idx="2">
                  <c:v>449729</c:v>
                </c:pt>
                <c:pt idx="3">
                  <c:v>452326</c:v>
                </c:pt>
                <c:pt idx="4">
                  <c:v>470643</c:v>
                </c:pt>
                <c:pt idx="5">
                  <c:v>460233</c:v>
                </c:pt>
                <c:pt idx="6">
                  <c:v>490208</c:v>
                </c:pt>
                <c:pt idx="7">
                  <c:v>498257</c:v>
                </c:pt>
                <c:pt idx="8">
                  <c:v>515556</c:v>
                </c:pt>
                <c:pt idx="9">
                  <c:v>514052</c:v>
                </c:pt>
                <c:pt idx="10">
                  <c:v>452442</c:v>
                </c:pt>
                <c:pt idx="11">
                  <c:v>466797</c:v>
                </c:pt>
              </c:numCache>
            </c:numRef>
          </c:val>
          <c:extLst>
            <c:ext xmlns:c16="http://schemas.microsoft.com/office/drawing/2014/chart" uri="{C3380CC4-5D6E-409C-BE32-E72D297353CC}">
              <c16:uniqueId val="{00000000-46B1-4D72-86B8-0B3048B12CE9}"/>
            </c:ext>
          </c:extLst>
        </c:ser>
        <c:dLbls>
          <c:showLegendKey val="0"/>
          <c:showVal val="0"/>
          <c:showCatName val="0"/>
          <c:showSerName val="0"/>
          <c:showPercent val="0"/>
          <c:showBubbleSize val="0"/>
        </c:dLbls>
        <c:gapWidth val="219"/>
        <c:overlap val="-27"/>
        <c:axId val="80707074"/>
        <c:axId val="70975700"/>
      </c:barChart>
      <c:catAx>
        <c:axId val="80707074"/>
        <c:scaling>
          <c:orientation val="minMax"/>
        </c:scaling>
        <c:delete val="0"/>
        <c:axPos val="b"/>
        <c:numFmt formatCode="General" sourceLinked="0"/>
        <c:majorTickMark val="none"/>
        <c:minorTickMark val="none"/>
        <c:tickLblPos val="nextTo"/>
        <c:spPr>
          <a:ln w="9360">
            <a:solidFill>
              <a:srgbClr val="D9D9D9"/>
            </a:solidFill>
            <a:round/>
          </a:ln>
        </c:spPr>
        <c:txPr>
          <a:bodyPr/>
          <a:lstStyle/>
          <a:p>
            <a:pPr>
              <a:defRPr sz="800"/>
            </a:pPr>
            <a:endParaRPr lang="es-CO"/>
          </a:p>
        </c:txPr>
        <c:crossAx val="70975700"/>
        <c:crosses val="autoZero"/>
        <c:auto val="1"/>
        <c:lblAlgn val="ctr"/>
        <c:lblOffset val="100"/>
        <c:noMultiLvlLbl val="0"/>
      </c:catAx>
      <c:valAx>
        <c:axId val="70975700"/>
        <c:scaling>
          <c:orientation val="minMax"/>
        </c:scaling>
        <c:delete val="1"/>
        <c:axPos val="l"/>
        <c:numFmt formatCode="General" sourceLinked="1"/>
        <c:majorTickMark val="none"/>
        <c:minorTickMark val="none"/>
        <c:tickLblPos val="nextTo"/>
        <c:crossAx val="80707074"/>
        <c:crosses val="autoZero"/>
        <c:crossBetween val="between"/>
      </c:valAx>
      <c:spPr>
        <a:noFill/>
        <a:ln w="0">
          <a:noFill/>
        </a:ln>
      </c:spPr>
    </c:plotArea>
    <c:plotVisOnly val="1"/>
    <c:dispBlanksAs val="gap"/>
    <c:showDLblsOverMax val="1"/>
  </c:chart>
  <c:spPr>
    <a:noFill/>
    <a:ln w="9360">
      <a:noFill/>
      <a:round/>
    </a:ln>
  </c:spPr>
  <c:txPr>
    <a:bodyPr/>
    <a:lstStyle/>
    <a:p>
      <a:pPr>
        <a:defRPr>
          <a:solidFill>
            <a:schemeClr val="tx1"/>
          </a:solidFill>
          <a:latin typeface="Arial" panose="020B0604020202020204" pitchFamily="34" charset="0"/>
          <a:cs typeface="Arial" panose="020B0604020202020204" pitchFamily="34" charset="0"/>
        </a:defRPr>
      </a:pPr>
      <a:endParaRPr lang="es-CO"/>
    </a:p>
  </c:txPr>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6992064470121074E-2"/>
          <c:y val="3.5584998990510805E-2"/>
          <c:w val="0.94528863717763001"/>
          <c:h val="0.80693241469816268"/>
        </c:manualLayout>
      </c:layout>
      <c:lineChart>
        <c:grouping val="standard"/>
        <c:varyColors val="1"/>
        <c:ser>
          <c:idx val="0"/>
          <c:order val="0"/>
          <c:spPr>
            <a:ln>
              <a:solidFill>
                <a:srgbClr val="C00000"/>
              </a:solidFill>
            </a:ln>
          </c:spPr>
          <c:marker>
            <c:spPr>
              <a:ln>
                <a:solidFill>
                  <a:srgbClr val="C00000"/>
                </a:solidFill>
              </a:ln>
            </c:spPr>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Datos!$A$4:$A$15</c:f>
              <c:strCache>
                <c:ptCount val="12"/>
                <c:pt idx="0">
                  <c:v>ene-25</c:v>
                </c:pt>
                <c:pt idx="1">
                  <c:v>feb-25</c:v>
                </c:pt>
                <c:pt idx="2">
                  <c:v>mar-25</c:v>
                </c:pt>
                <c:pt idx="3">
                  <c:v>abr-25</c:v>
                </c:pt>
                <c:pt idx="4">
                  <c:v>may-25</c:v>
                </c:pt>
                <c:pt idx="5">
                  <c:v>jun-25</c:v>
                </c:pt>
                <c:pt idx="6">
                  <c:v>jul-25</c:v>
                </c:pt>
                <c:pt idx="7">
                  <c:v>ago-25</c:v>
                </c:pt>
                <c:pt idx="8">
                  <c:v>sep-25</c:v>
                </c:pt>
                <c:pt idx="9">
                  <c:v>oct-25</c:v>
                </c:pt>
                <c:pt idx="10">
                  <c:v>nov-25</c:v>
                </c:pt>
                <c:pt idx="11">
                  <c:v>dic-25</c:v>
                </c:pt>
              </c:strCache>
            </c:strRef>
          </c:cat>
          <c:val>
            <c:numRef>
              <c:f>Datos!$D$4:$D$15</c:f>
              <c:numCache>
                <c:formatCode>0.0%</c:formatCode>
                <c:ptCount val="12"/>
                <c:pt idx="0">
                  <c:v>0.85739251787392068</c:v>
                </c:pt>
                <c:pt idx="1">
                  <c:v>0.90900145548471745</c:v>
                </c:pt>
                <c:pt idx="2">
                  <c:v>0.92948597387190579</c:v>
                </c:pt>
                <c:pt idx="3">
                  <c:v>0.93983764162724059</c:v>
                </c:pt>
                <c:pt idx="4">
                  <c:v>0.99367870331076336</c:v>
                </c:pt>
                <c:pt idx="5">
                  <c:v>0.95122283928545592</c:v>
                </c:pt>
                <c:pt idx="6">
                  <c:v>0.98835645576562103</c:v>
                </c:pt>
                <c:pt idx="7">
                  <c:v>0.99959074029863926</c:v>
                </c:pt>
                <c:pt idx="8">
                  <c:v>0.9595452751948661</c:v>
                </c:pt>
                <c:pt idx="9">
                  <c:v>0.99388455477896043</c:v>
                </c:pt>
                <c:pt idx="10">
                  <c:v>0.94423794924879112</c:v>
                </c:pt>
                <c:pt idx="11">
                  <c:v>0.96222996372031666</c:v>
                </c:pt>
              </c:numCache>
            </c:numRef>
          </c:val>
          <c:smooth val="0"/>
          <c:extLst>
            <c:ext xmlns:c16="http://schemas.microsoft.com/office/drawing/2014/chart" uri="{C3380CC4-5D6E-409C-BE32-E72D297353CC}">
              <c16:uniqueId val="{00000000-7A8B-43C4-B2C1-FE8524C43A5E}"/>
            </c:ext>
          </c:extLst>
        </c:ser>
        <c:dLbls>
          <c:dLblPos val="t"/>
          <c:showLegendKey val="0"/>
          <c:showVal val="1"/>
          <c:showCatName val="0"/>
          <c:showSerName val="0"/>
          <c:showPercent val="0"/>
          <c:showBubbleSize val="0"/>
        </c:dLbls>
        <c:marker val="1"/>
        <c:smooth val="0"/>
        <c:axId val="48650112"/>
        <c:axId val="48672768"/>
      </c:lineChart>
      <c:catAx>
        <c:axId val="48650112"/>
        <c:scaling>
          <c:orientation val="minMax"/>
        </c:scaling>
        <c:delete val="0"/>
        <c:axPos val="b"/>
        <c:numFmt formatCode="General" sourceLinked="1"/>
        <c:majorTickMark val="none"/>
        <c:minorTickMark val="none"/>
        <c:tickLblPos val="nextTo"/>
        <c:txPr>
          <a:bodyPr/>
          <a:lstStyle/>
          <a:p>
            <a:pPr>
              <a:defRPr sz="1000"/>
            </a:pPr>
            <a:endParaRPr lang="es-CO"/>
          </a:p>
        </c:txPr>
        <c:crossAx val="48672768"/>
        <c:crosses val="autoZero"/>
        <c:auto val="1"/>
        <c:lblAlgn val="ctr"/>
        <c:lblOffset val="100"/>
        <c:noMultiLvlLbl val="0"/>
      </c:catAx>
      <c:valAx>
        <c:axId val="48672768"/>
        <c:scaling>
          <c:orientation val="minMax"/>
          <c:min val="0.8"/>
        </c:scaling>
        <c:delete val="1"/>
        <c:axPos val="l"/>
        <c:numFmt formatCode="0.0%" sourceLinked="0"/>
        <c:majorTickMark val="none"/>
        <c:minorTickMark val="none"/>
        <c:tickLblPos val="nextTo"/>
        <c:crossAx val="48650112"/>
        <c:crosses val="autoZero"/>
        <c:crossBetween val="between"/>
      </c:valAx>
    </c:plotArea>
    <c:plotVisOnly val="1"/>
    <c:dispBlanksAs val="zero"/>
    <c:showDLblsOverMax val="1"/>
  </c:chart>
  <c:spPr>
    <a:ln w="9525">
      <a:noFill/>
      <a:prstDash val="solid"/>
    </a:ln>
  </c:spPr>
  <c:txPr>
    <a:bodyPr/>
    <a:lstStyle/>
    <a:p>
      <a:pPr>
        <a:defRPr sz="1100">
          <a:latin typeface="Arial" panose="020B0604020202020204" pitchFamily="34" charset="0"/>
          <a:cs typeface="Arial" panose="020B0604020202020204" pitchFamily="34" charset="0"/>
        </a:defRPr>
      </a:pPr>
      <a:endParaRPr lang="es-CO"/>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5470368835474513E-2"/>
          <c:y val="3.4860316373496798E-2"/>
          <c:w val="0.96356467825422754"/>
          <c:h val="0.79772895395748167"/>
        </c:manualLayout>
      </c:layout>
      <c:lineChart>
        <c:grouping val="standard"/>
        <c:varyColors val="1"/>
        <c:ser>
          <c:idx val="0"/>
          <c:order val="0"/>
          <c:tx>
            <c:v>Siniestralidad</c:v>
          </c:tx>
          <c:spPr>
            <a:ln>
              <a:solidFill>
                <a:srgbClr val="C00000"/>
              </a:solidFill>
              <a:tailEnd type="arrow"/>
            </a:ln>
          </c:spPr>
          <c:marker>
            <c:symbol val="diamond"/>
            <c:size val="5"/>
            <c:spPr>
              <a:ln w="79375">
                <a:solidFill>
                  <a:srgbClr val="C00000"/>
                </a:solidFill>
              </a:ln>
            </c:spPr>
          </c:marker>
          <c:dLbls>
            <c:spPr>
              <a:noFill/>
              <a:ln>
                <a:noFill/>
              </a:ln>
              <a:effectLst/>
            </c:spPr>
            <c:txPr>
              <a:bodyPr/>
              <a:lstStyle/>
              <a:p>
                <a:pPr>
                  <a:defRPr sz="1000"/>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'Siniestralidad 2025'!$A$2:$A$13</c:f>
              <c:strCache>
                <c:ptCount val="12"/>
                <c:pt idx="0">
                  <c:v>ene-25</c:v>
                </c:pt>
                <c:pt idx="1">
                  <c:v>feb-25</c:v>
                </c:pt>
                <c:pt idx="2">
                  <c:v>mar-25</c:v>
                </c:pt>
                <c:pt idx="3">
                  <c:v>abr-25</c:v>
                </c:pt>
                <c:pt idx="4">
                  <c:v>may-25</c:v>
                </c:pt>
                <c:pt idx="5">
                  <c:v>jun-25</c:v>
                </c:pt>
                <c:pt idx="6">
                  <c:v>jul-25</c:v>
                </c:pt>
                <c:pt idx="7">
                  <c:v>ago-25</c:v>
                </c:pt>
                <c:pt idx="8">
                  <c:v>sep-25</c:v>
                </c:pt>
                <c:pt idx="9">
                  <c:v>oct-25</c:v>
                </c:pt>
                <c:pt idx="10">
                  <c:v>nov-25</c:v>
                </c:pt>
                <c:pt idx="11">
                  <c:v>dic-25</c:v>
                </c:pt>
              </c:strCache>
            </c:strRef>
          </c:cat>
          <c:val>
            <c:numRef>
              <c:f>'Siniestralidad 2025'!$B$2:$B$13</c:f>
              <c:numCache>
                <c:formatCode>0.0%</c:formatCode>
                <c:ptCount val="12"/>
                <c:pt idx="0">
                  <c:v>1.2509999999999999</c:v>
                </c:pt>
                <c:pt idx="1">
                  <c:v>1.153</c:v>
                </c:pt>
                <c:pt idx="2">
                  <c:v>1.141</c:v>
                </c:pt>
                <c:pt idx="3">
                  <c:v>1.1000000000000001</c:v>
                </c:pt>
                <c:pt idx="4">
                  <c:v>1.097</c:v>
                </c:pt>
                <c:pt idx="5">
                  <c:v>1.0940000000000001</c:v>
                </c:pt>
                <c:pt idx="6">
                  <c:v>1.1040000000000001</c:v>
                </c:pt>
                <c:pt idx="7">
                  <c:v>1.08</c:v>
                </c:pt>
                <c:pt idx="8">
                  <c:v>1.0759999999999998</c:v>
                </c:pt>
                <c:pt idx="9">
                  <c:v>1.079</c:v>
                </c:pt>
                <c:pt idx="10">
                  <c:v>1.0569999999999999</c:v>
                </c:pt>
                <c:pt idx="11">
                  <c:v>1.034</c:v>
                </c:pt>
              </c:numCache>
            </c:numRef>
          </c:val>
          <c:smooth val="0"/>
          <c:extLst>
            <c:ext xmlns:c16="http://schemas.microsoft.com/office/drawing/2014/chart" uri="{C3380CC4-5D6E-409C-BE32-E72D297353CC}">
              <c16:uniqueId val="{00000000-D50E-4FCC-8910-E9EEC1E8D0A8}"/>
            </c:ext>
          </c:extLst>
        </c:ser>
        <c:dLbls>
          <c:dLblPos val="t"/>
          <c:showLegendKey val="0"/>
          <c:showVal val="1"/>
          <c:showCatName val="0"/>
          <c:showSerName val="0"/>
          <c:showPercent val="0"/>
          <c:showBubbleSize val="0"/>
        </c:dLbls>
        <c:marker val="1"/>
        <c:smooth val="0"/>
        <c:axId val="48650112"/>
        <c:axId val="48672768"/>
      </c:lineChart>
      <c:catAx>
        <c:axId val="48650112"/>
        <c:scaling>
          <c:orientation val="minMax"/>
        </c:scaling>
        <c:delete val="0"/>
        <c:axPos val="b"/>
        <c:numFmt formatCode="General" sourceLinked="1"/>
        <c:majorTickMark val="none"/>
        <c:minorTickMark val="none"/>
        <c:tickLblPos val="nextTo"/>
        <c:crossAx val="48672768"/>
        <c:crosses val="autoZero"/>
        <c:auto val="1"/>
        <c:lblAlgn val="ctr"/>
        <c:lblOffset val="100"/>
        <c:noMultiLvlLbl val="0"/>
      </c:catAx>
      <c:valAx>
        <c:axId val="48672768"/>
        <c:scaling>
          <c:orientation val="minMax"/>
          <c:min val="0.8"/>
        </c:scaling>
        <c:delete val="1"/>
        <c:axPos val="l"/>
        <c:numFmt formatCode="0.0%" sourceLinked="1"/>
        <c:majorTickMark val="none"/>
        <c:minorTickMark val="none"/>
        <c:tickLblPos val="nextTo"/>
        <c:crossAx val="48650112"/>
        <c:crosses val="autoZero"/>
        <c:crossBetween val="between"/>
      </c:valAx>
    </c:plotArea>
    <c:plotVisOnly val="1"/>
    <c:dispBlanksAs val="zero"/>
    <c:showDLblsOverMax val="1"/>
  </c:chart>
  <c:spPr>
    <a:ln w="9525">
      <a:noFill/>
      <a:prstDash val="solid"/>
    </a:ln>
  </c:spPr>
  <c:txPr>
    <a:bodyPr/>
    <a:lstStyle/>
    <a:p>
      <a:pPr>
        <a:defRPr sz="900">
          <a:latin typeface="Arial" panose="020B0604020202020204" pitchFamily="34" charset="0"/>
          <a:cs typeface="Arial" panose="020B0604020202020204" pitchFamily="34" charset="0"/>
        </a:defRPr>
      </a:pPr>
      <a:endParaRPr lang="es-CO"/>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A62F358A0D1E84B8A3EFB191CDA2B11" ma:contentTypeVersion="13" ma:contentTypeDescription="Crear nuevo documento." ma:contentTypeScope="" ma:versionID="5d1bdb202ad87fec3c66b46319e79c1d">
  <xsd:schema xmlns:xsd="http://www.w3.org/2001/XMLSchema" xmlns:xs="http://www.w3.org/2001/XMLSchema" xmlns:p="http://schemas.microsoft.com/office/2006/metadata/properties" xmlns:ns2="76a38297-7708-4b19-93b1-119b8e8239f4" xmlns:ns3="61559883-7709-4073-94ff-6ee5816d7111" targetNamespace="http://schemas.microsoft.com/office/2006/metadata/properties" ma:root="true" ma:fieldsID="19301f7f4cf9251f3da58cf770199eda" ns2:_="" ns3:_="">
    <xsd:import namespace="76a38297-7708-4b19-93b1-119b8e8239f4"/>
    <xsd:import namespace="61559883-7709-4073-94ff-6ee5816d71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a38297-7708-4b19-93b1-119b8e8239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59883-7709-4073-94ff-6ee5816d711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6735e0a9-3993-4d86-a73a-60e3fbc19586}" ma:internalName="TaxCatchAll" ma:showField="CatchAllData" ma:web="61559883-7709-4073-94ff-6ee5816d71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559883-7709-4073-94ff-6ee5816d7111" xsi:nil="true"/>
    <lcf76f155ced4ddcb4097134ff3c332f xmlns="76a38297-7708-4b19-93b1-119b8e8239f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1515D-DEA5-4017-AFB8-DB93056DE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a38297-7708-4b19-93b1-119b8e8239f4"/>
    <ds:schemaRef ds:uri="61559883-7709-4073-94ff-6ee5816d71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0A2580-0E12-478B-8E39-6F4CBA7737E6}">
  <ds:schemaRefs>
    <ds:schemaRef ds:uri="http://schemas.microsoft.com/sharepoint/v3/contenttype/forms"/>
  </ds:schemaRefs>
</ds:datastoreItem>
</file>

<file path=customXml/itemProps3.xml><?xml version="1.0" encoding="utf-8"?>
<ds:datastoreItem xmlns:ds="http://schemas.openxmlformats.org/officeDocument/2006/customXml" ds:itemID="{C7E930CB-7D35-4768-AEE1-0B251CAC1A37}">
  <ds:schemaRefs>
    <ds:schemaRef ds:uri="http://schemas.microsoft.com/office/2006/metadata/properties"/>
    <ds:schemaRef ds:uri="http://schemas.microsoft.com/office/infopath/2007/PartnerControls"/>
    <ds:schemaRef ds:uri="61559883-7709-4073-94ff-6ee5816d7111"/>
    <ds:schemaRef ds:uri="76a38297-7708-4b19-93b1-119b8e8239f4"/>
  </ds:schemaRefs>
</ds:datastoreItem>
</file>

<file path=customXml/itemProps4.xml><?xml version="1.0" encoding="utf-8"?>
<ds:datastoreItem xmlns:ds="http://schemas.openxmlformats.org/officeDocument/2006/customXml" ds:itemID="{37E90387-E828-4069-87A1-7B60B91AF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116</Pages>
  <Words>32227</Words>
  <Characters>177254</Characters>
  <Application>Microsoft Office Word</Application>
  <DocSecurity>0</DocSecurity>
  <Lines>1477</Lines>
  <Paragraphs>418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Andrea, Lopez Higuera</dc:creator>
  <dc:description/>
  <cp:lastModifiedBy>Henry Jose, Forero Fernandez</cp:lastModifiedBy>
  <cp:revision>123</cp:revision>
  <cp:lastPrinted>2026-03-02T10:19:00Z</cp:lastPrinted>
  <dcterms:created xsi:type="dcterms:W3CDTF">2026-06-29T00:11:00Z</dcterms:created>
  <dcterms:modified xsi:type="dcterms:W3CDTF">2026-06-29T14:15:00Z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0x0101003A62F358A0D1E84B8A3EFB191CDA2B11</vt:lpwstr>
  </property>
  <property fmtid="{D5CDD505-2E9C-101B-9397-08002B2CF9AE}" pid="3" name="MediaServiceImageTags">
    <vt:lpwstr/>
  </property>
</Properties>
</file>